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ind w:firstLine="0"/>
        <w:jc w:val="center"/>
        <w:rPr>
          <w:rFonts w:eastAsia="黑体"/>
          <w:b/>
          <w:bCs/>
          <w:sz w:val="84"/>
        </w:rPr>
      </w:pPr>
    </w:p>
    <w:p>
      <w:pPr>
        <w:pStyle w:val="32"/>
        <w:ind w:firstLine="0"/>
        <w:jc w:val="center"/>
        <w:rPr>
          <w:rFonts w:eastAsia="黑体"/>
          <w:b/>
          <w:bCs/>
          <w:sz w:val="84"/>
        </w:rPr>
      </w:pPr>
    </w:p>
    <w:p>
      <w:pPr>
        <w:pStyle w:val="32"/>
        <w:ind w:firstLine="0"/>
        <w:jc w:val="center"/>
        <w:rPr>
          <w:rFonts w:eastAsia="黑体"/>
          <w:b/>
          <w:bCs/>
          <w:sz w:val="84"/>
        </w:rPr>
      </w:pPr>
      <w:r>
        <w:rPr>
          <w:rFonts w:hint="eastAsia" w:eastAsia="黑体"/>
          <w:b/>
          <w:bCs/>
          <w:sz w:val="84"/>
        </w:rPr>
        <w:t>招　标　文　件</w:t>
      </w:r>
    </w:p>
    <w:p>
      <w:pPr>
        <w:pStyle w:val="32"/>
        <w:ind w:firstLine="2409" w:firstLineChars="750"/>
        <w:rPr>
          <w:b/>
          <w:bCs/>
          <w:sz w:val="32"/>
        </w:rPr>
      </w:pPr>
    </w:p>
    <w:p>
      <w:pPr>
        <w:pStyle w:val="32"/>
        <w:ind w:left="1606" w:hanging="1606" w:hangingChars="500"/>
        <w:jc w:val="both"/>
        <w:rPr>
          <w:b/>
          <w:bCs/>
          <w:sz w:val="32"/>
        </w:rPr>
      </w:pPr>
      <w:r>
        <w:rPr>
          <w:rFonts w:hint="eastAsia"/>
          <w:b/>
          <w:bCs/>
          <w:sz w:val="32"/>
        </w:rPr>
        <w:t>项目名称：</w:t>
      </w:r>
      <w:bookmarkStart w:id="0" w:name="OLE_LINK11"/>
      <w:r>
        <w:rPr>
          <w:rFonts w:hint="eastAsia"/>
          <w:b/>
          <w:bCs/>
          <w:sz w:val="32"/>
          <w:lang w:val="en-US" w:eastAsia="zh-CN"/>
        </w:rPr>
        <w:t>南京医科大学</w:t>
      </w:r>
      <w:r>
        <w:rPr>
          <w:rFonts w:hint="eastAsia"/>
          <w:b/>
          <w:bCs/>
          <w:sz w:val="32"/>
        </w:rPr>
        <w:t>江宁校区致诚楼药学院520、530实验室改造</w:t>
      </w:r>
    </w:p>
    <w:bookmarkEnd w:id="0"/>
    <w:p>
      <w:pPr>
        <w:pStyle w:val="32"/>
        <w:ind w:firstLine="0"/>
        <w:jc w:val="both"/>
        <w:rPr>
          <w:rFonts w:hint="default" w:eastAsia="宋体"/>
          <w:b/>
          <w:bCs/>
          <w:sz w:val="32"/>
          <w:lang w:val="en-US" w:eastAsia="zh-CN"/>
        </w:rPr>
      </w:pPr>
      <w:r>
        <w:rPr>
          <w:rFonts w:hint="eastAsia"/>
          <w:b/>
          <w:bCs/>
          <w:sz w:val="32"/>
        </w:rPr>
        <w:t>项目编号：</w:t>
      </w:r>
      <w:r>
        <w:rPr>
          <w:b/>
          <w:bCs/>
          <w:sz w:val="32"/>
        </w:rPr>
        <w:t>NJMUZB</w:t>
      </w:r>
      <w:r>
        <w:rPr>
          <w:rFonts w:hint="eastAsia"/>
          <w:b/>
          <w:bCs/>
          <w:sz w:val="32"/>
        </w:rPr>
        <w:t>30120230</w:t>
      </w:r>
      <w:r>
        <w:rPr>
          <w:rFonts w:hint="eastAsia"/>
          <w:b/>
          <w:bCs/>
          <w:sz w:val="32"/>
          <w:lang w:val="en-US" w:eastAsia="zh-CN"/>
        </w:rPr>
        <w:t>25</w:t>
      </w:r>
    </w:p>
    <w:p>
      <w:pPr>
        <w:pStyle w:val="32"/>
        <w:spacing w:before="0" w:after="0"/>
        <w:ind w:firstLine="0"/>
        <w:rPr>
          <w:rFonts w:ascii="宋体" w:hAnsi="宋体"/>
        </w:rPr>
      </w:pPr>
    </w:p>
    <w:p>
      <w:pPr>
        <w:pStyle w:val="32"/>
        <w:spacing w:before="0" w:after="0"/>
        <w:ind w:firstLine="0"/>
        <w:rPr>
          <w:rFonts w:ascii="宋体" w:hAnsi="宋体"/>
        </w:rPr>
      </w:pPr>
    </w:p>
    <w:p>
      <w:pPr>
        <w:pStyle w:val="32"/>
        <w:spacing w:before="0" w:after="0"/>
        <w:ind w:firstLine="0"/>
        <w:rPr>
          <w:rFonts w:ascii="宋体" w:hAnsi="宋体"/>
        </w:rPr>
      </w:pPr>
    </w:p>
    <w:p>
      <w:pPr>
        <w:pStyle w:val="32"/>
        <w:spacing w:before="0" w:after="0"/>
        <w:ind w:firstLine="0"/>
        <w:rPr>
          <w:rFonts w:ascii="宋体" w:hAnsi="宋体"/>
        </w:rPr>
      </w:pPr>
    </w:p>
    <w:p>
      <w:pPr>
        <w:pStyle w:val="32"/>
        <w:spacing w:before="0" w:after="0"/>
        <w:ind w:firstLine="0"/>
        <w:rPr>
          <w:rFonts w:ascii="宋体" w:hAnsi="宋体"/>
        </w:rPr>
      </w:pPr>
    </w:p>
    <w:p>
      <w:pPr>
        <w:pStyle w:val="32"/>
        <w:spacing w:before="0" w:after="0"/>
        <w:ind w:firstLine="0"/>
        <w:rPr>
          <w:rFonts w:ascii="宋体" w:hAnsi="宋体"/>
        </w:rPr>
      </w:pPr>
    </w:p>
    <w:p>
      <w:pPr>
        <w:pStyle w:val="32"/>
        <w:ind w:firstLine="0"/>
        <w:rPr>
          <w:b/>
          <w:bCs/>
          <w:sz w:val="32"/>
        </w:rPr>
      </w:pPr>
    </w:p>
    <w:p>
      <w:pPr>
        <w:pStyle w:val="32"/>
        <w:ind w:firstLine="0"/>
        <w:jc w:val="center"/>
        <w:rPr>
          <w:rFonts w:hint="eastAsia"/>
          <w:b/>
          <w:bCs/>
          <w:sz w:val="32"/>
        </w:rPr>
      </w:pPr>
      <w:r>
        <w:rPr>
          <w:rFonts w:hint="eastAsia"/>
          <w:b/>
          <w:bCs/>
          <w:sz w:val="32"/>
        </w:rPr>
        <w:t>南京医科大学</w:t>
      </w:r>
    </w:p>
    <w:p>
      <w:pPr>
        <w:pStyle w:val="32"/>
        <w:ind w:firstLine="0"/>
        <w:jc w:val="center"/>
        <w:rPr>
          <w:b/>
          <w:bCs/>
          <w:sz w:val="32"/>
        </w:rPr>
      </w:pPr>
      <w:r>
        <w:rPr>
          <w:rFonts w:hint="eastAsia"/>
          <w:b/>
          <w:bCs/>
          <w:sz w:val="32"/>
        </w:rPr>
        <w:t>2024年5月</w:t>
      </w:r>
      <w:r>
        <w:rPr>
          <w:rFonts w:hint="eastAsia"/>
          <w:b/>
          <w:bCs/>
          <w:sz w:val="32"/>
          <w:lang w:val="en-US" w:eastAsia="zh-CN"/>
        </w:rPr>
        <w:t>21</w:t>
      </w:r>
      <w:r>
        <w:rPr>
          <w:rFonts w:hint="eastAsia"/>
          <w:b/>
          <w:bCs/>
          <w:sz w:val="32"/>
        </w:rPr>
        <w:t>日</w:t>
      </w:r>
      <w:r>
        <w:br w:type="page"/>
      </w:r>
      <w:bookmarkStart w:id="1" w:name="_Toc517190880"/>
      <w:bookmarkStart w:id="2" w:name="_Toc120614210"/>
      <w:bookmarkStart w:id="3" w:name="_Toc16938516"/>
      <w:bookmarkStart w:id="4" w:name="_Toc479757206"/>
      <w:bookmarkStart w:id="5" w:name="_Toc513029200"/>
      <w:bookmarkStart w:id="6" w:name="_Toc523127445"/>
      <w:bookmarkStart w:id="7" w:name="_Toc20823272"/>
      <w:r>
        <w:rPr>
          <w:rFonts w:hint="eastAsia" w:ascii="黑体" w:hAnsi="黑体" w:eastAsia="黑体"/>
          <w:b/>
          <w:sz w:val="44"/>
          <w:szCs w:val="28"/>
        </w:rPr>
        <w:t>目  录</w:t>
      </w:r>
      <w:bookmarkEnd w:id="1"/>
    </w:p>
    <w:p>
      <w:pPr>
        <w:pStyle w:val="18"/>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6"/>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6"/>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8"/>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6"/>
          <w:rFonts w:hint="eastAsia" w:asciiTheme="majorEastAsia" w:hAnsiTheme="majorEastAsia" w:eastAsiaTheme="majorEastAsia"/>
          <w:sz w:val="24"/>
        </w:rPr>
        <w:t>第二章</w:t>
      </w:r>
      <w:r>
        <w:rPr>
          <w:rStyle w:val="26"/>
          <w:rFonts w:asciiTheme="majorEastAsia" w:hAnsiTheme="majorEastAsia" w:eastAsiaTheme="majorEastAsia"/>
          <w:sz w:val="24"/>
        </w:rPr>
        <w:t xml:space="preserve"> </w:t>
      </w:r>
      <w:r>
        <w:rPr>
          <w:rStyle w:val="26"/>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8"/>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6"/>
          <w:rFonts w:hint="eastAsia" w:asciiTheme="minorEastAsia" w:hAnsiTheme="minorEastAsia"/>
          <w:sz w:val="24"/>
        </w:rPr>
        <w:t>第三章</w:t>
      </w:r>
      <w:r>
        <w:rPr>
          <w:rStyle w:val="26"/>
          <w:rFonts w:asciiTheme="minorEastAsia" w:hAnsiTheme="minorEastAsia"/>
          <w:sz w:val="24"/>
        </w:rPr>
        <w:t xml:space="preserve"> </w:t>
      </w:r>
      <w:r>
        <w:rPr>
          <w:rStyle w:val="26"/>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8"/>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6"/>
          <w:rFonts w:hint="eastAsia" w:ascii="宋体" w:hAnsi="宋体"/>
          <w:sz w:val="24"/>
        </w:rPr>
        <w:t>第四章</w:t>
      </w:r>
      <w:r>
        <w:rPr>
          <w:rStyle w:val="26"/>
          <w:rFonts w:ascii="宋体" w:hAnsi="宋体"/>
          <w:sz w:val="24"/>
        </w:rPr>
        <w:t xml:space="preserve"> </w:t>
      </w:r>
      <w:r>
        <w:rPr>
          <w:rStyle w:val="26"/>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8"/>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6"/>
          <w:rFonts w:hint="eastAsia" w:ascii="宋体" w:hAnsi="宋体"/>
          <w:sz w:val="24"/>
        </w:rPr>
        <w:t>第五章</w:t>
      </w:r>
      <w:r>
        <w:rPr>
          <w:rStyle w:val="26"/>
          <w:rFonts w:ascii="宋体" w:hAnsi="宋体"/>
          <w:sz w:val="24"/>
        </w:rPr>
        <w:t xml:space="preserve"> </w:t>
      </w:r>
      <w:r>
        <w:rPr>
          <w:rStyle w:val="26"/>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2"/>
    <w:p>
      <w:pPr>
        <w:pStyle w:val="5"/>
        <w:pageBreakBefore/>
        <w:numPr>
          <w:ilvl w:val="0"/>
          <w:numId w:val="2"/>
        </w:numPr>
        <w:rPr>
          <w:rFonts w:asciiTheme="majorEastAsia" w:hAnsiTheme="majorEastAsia" w:eastAsiaTheme="majorEastAsia"/>
          <w:b/>
          <w:sz w:val="44"/>
        </w:rPr>
      </w:pPr>
      <w:bookmarkStart w:id="8" w:name="_Toc523931345"/>
      <w:r>
        <w:rPr>
          <w:rFonts w:hint="eastAsia" w:asciiTheme="majorEastAsia" w:hAnsiTheme="majorEastAsia" w:eastAsiaTheme="majorEastAsia"/>
          <w:b/>
          <w:sz w:val="44"/>
        </w:rPr>
        <w:t>招标公告</w:t>
      </w:r>
      <w:bookmarkEnd w:id="8"/>
    </w:p>
    <w:p/>
    <w:bookmarkEnd w:id="3"/>
    <w:bookmarkEnd w:id="4"/>
    <w:bookmarkEnd w:id="5"/>
    <w:bookmarkEnd w:id="6"/>
    <w:bookmarkEnd w:id="7"/>
    <w:p>
      <w:pPr>
        <w:pStyle w:val="32"/>
        <w:ind w:firstLine="480" w:firstLineChars="200"/>
        <w:jc w:val="both"/>
        <w:rPr>
          <w:rFonts w:asciiTheme="minorEastAsia" w:hAnsiTheme="minorEastAsia" w:eastAsiaTheme="minorEastAsia"/>
        </w:rPr>
      </w:pPr>
      <w:bookmarkStart w:id="9" w:name="_Toc120614221"/>
      <w:bookmarkStart w:id="10" w:name="_Toc444669970"/>
      <w:bookmarkStart w:id="11" w:name="OLE_LINK2"/>
      <w:bookmarkStart w:id="12" w:name="OLE_LINK1"/>
      <w:bookmarkStart w:id="13" w:name="_Toc20823314"/>
      <w:bookmarkStart w:id="14" w:name="_Toc479757207"/>
      <w:bookmarkStart w:id="15" w:name="_Toc16938558"/>
      <w:bookmarkStart w:id="16" w:name="_Toc120614211"/>
      <w:bookmarkStart w:id="17" w:name="_Toc513029242"/>
      <w:r>
        <w:rPr>
          <w:rFonts w:hint="eastAsia" w:asciiTheme="minorEastAsia" w:hAnsiTheme="minorEastAsia" w:eastAsiaTheme="minorEastAsia"/>
        </w:rPr>
        <w:t>南京医科大学就</w:t>
      </w:r>
      <w:r>
        <w:rPr>
          <w:rFonts w:hint="eastAsia" w:asciiTheme="minorEastAsia" w:hAnsiTheme="minorEastAsia" w:eastAsiaTheme="minorEastAsia"/>
          <w:u w:val="single"/>
        </w:rPr>
        <w:t xml:space="preserve"> 江宁校区致诚楼药学院520、530实验室改造 </w:t>
      </w:r>
      <w:r>
        <w:rPr>
          <w:rFonts w:hint="eastAsia" w:asciiTheme="minorEastAsia" w:hAnsiTheme="minorEastAsia" w:eastAsiaTheme="minorEastAsia"/>
        </w:rPr>
        <w:t>采购项目公开招标，相应资金已落实，欢迎符合招标公告资质要求的供应商前来投标。</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w:t>
      </w:r>
      <w:r>
        <w:rPr>
          <w:rFonts w:hint="eastAsia" w:asciiTheme="minorEastAsia" w:hAnsiTheme="minorEastAsia" w:eastAsiaTheme="minorEastAsia"/>
          <w:sz w:val="24"/>
          <w:szCs w:val="24"/>
          <w:u w:val="single"/>
          <w:lang w:val="en-US" w:eastAsia="zh-CN"/>
        </w:rPr>
        <w:t>南京医科大学</w:t>
      </w:r>
      <w:r>
        <w:rPr>
          <w:rFonts w:hint="eastAsia" w:asciiTheme="minorEastAsia" w:hAnsiTheme="minorEastAsia" w:eastAsiaTheme="minorEastAsia"/>
          <w:sz w:val="24"/>
          <w:u w:val="single"/>
        </w:rPr>
        <w:t>江宁校区致诚楼药学院520、530实验室改造</w:t>
      </w:r>
    </w:p>
    <w:p>
      <w:pPr>
        <w:spacing w:beforeLines="5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（二）采购项目编号：</w:t>
      </w:r>
      <w:r>
        <w:rPr>
          <w:rFonts w:asciiTheme="minorEastAsia" w:hAnsiTheme="minorEastAsia" w:eastAsiaTheme="minorEastAsia"/>
          <w:sz w:val="24"/>
          <w:szCs w:val="24"/>
        </w:rPr>
        <w:t>NJMUZB30120230</w:t>
      </w:r>
      <w:r>
        <w:rPr>
          <w:rFonts w:hint="eastAsia" w:asciiTheme="minorEastAsia" w:hAnsiTheme="minorEastAsia" w:eastAsiaTheme="minorEastAsia"/>
          <w:sz w:val="24"/>
          <w:szCs w:val="24"/>
          <w:lang w:val="en-US" w:eastAsia="zh-CN"/>
        </w:rPr>
        <w:t>25</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:￥：199800.00                                             </w:t>
      </w:r>
    </w:p>
    <w:p>
      <w:pPr>
        <w:spacing w:beforeLines="50" w:afterLines="50" w:line="360" w:lineRule="auto"/>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rPr>
        <w:t>三、采购项目需求：致诚楼实验室家具及通风系统改造</w:t>
      </w:r>
    </w:p>
    <w:p>
      <w:pPr>
        <w:spacing w:beforeLines="50" w:afterLines="50" w:line="360" w:lineRule="auto"/>
        <w:ind w:firstLine="482" w:firstLineChars="200"/>
        <w:rPr>
          <w:rFonts w:asciiTheme="minorEastAsia" w:hAnsiTheme="minorEastAsia" w:eastAsiaTheme="minorEastAsia"/>
          <w:b/>
          <w:color w:val="FF0000"/>
          <w:sz w:val="24"/>
          <w:szCs w:val="24"/>
        </w:rPr>
      </w:pPr>
      <w:r>
        <w:rPr>
          <w:rFonts w:hint="eastAsia" w:asciiTheme="minorEastAsia" w:hAnsiTheme="minorEastAsia" w:eastAsiaTheme="minorEastAsia"/>
          <w:b/>
          <w:sz w:val="24"/>
          <w:szCs w:val="24"/>
        </w:rPr>
        <w:t>四、</w:t>
      </w:r>
      <w:r>
        <w:rPr>
          <w:rFonts w:hint="eastAsia" w:asciiTheme="minorEastAsia" w:hAnsiTheme="minorEastAsia" w:eastAsiaTheme="minorEastAsia"/>
          <w:b/>
          <w:color w:val="000000" w:themeColor="text1"/>
          <w:sz w:val="24"/>
          <w:szCs w:val="24"/>
        </w:rPr>
        <w:t>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2021年度审计报告或者</w:t>
      </w:r>
      <w:r>
        <w:rPr>
          <w:rFonts w:hint="eastAsia" w:ascii="宋体" w:hAnsi="宋体" w:eastAsia="宋体" w:cs="宋体"/>
          <w:sz w:val="24"/>
          <w:szCs w:val="24"/>
        </w:rPr>
        <w:t>2022年度任一季度的财务状况报告；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3.依法缴纳税收和社会保障资金的相关材料，提供2</w:t>
      </w:r>
      <w:r>
        <w:rPr>
          <w:rFonts w:ascii="宋体" w:hAnsi="宋体" w:eastAsia="宋体" w:cs="宋体"/>
          <w:sz w:val="24"/>
          <w:szCs w:val="24"/>
        </w:rPr>
        <w:t>022年度近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bCs/>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pStyle w:val="32"/>
      </w:pPr>
      <w:r>
        <w:rPr>
          <w:rFonts w:hint="eastAsia"/>
        </w:rPr>
        <w:t>9.本项目的特定资格要求：</w:t>
      </w:r>
    </w:p>
    <w:p>
      <w:pPr>
        <w:pStyle w:val="32"/>
      </w:pPr>
      <w:r>
        <w:rPr>
          <w:rFonts w:hint="eastAsia"/>
        </w:rPr>
        <w:t>9.1供应商应具有建筑装饰装修工程专业承包资质；具有建筑机电安装工程专业承包资质；（提供证书复印件并加盖公章，原件备查）；</w:t>
      </w:r>
    </w:p>
    <w:p>
      <w:pPr>
        <w:pStyle w:val="32"/>
      </w:pPr>
      <w:r>
        <w:rPr>
          <w:rFonts w:hint="eastAsia"/>
        </w:rPr>
        <w:t>9.2供应商应具有行政主管部门颁发的企业安全生产许可证且在有效期内；（提供证书复印件并加盖公章，原件备查）；</w:t>
      </w:r>
    </w:p>
    <w:p>
      <w:pPr>
        <w:pStyle w:val="32"/>
      </w:pPr>
      <w:r>
        <w:rPr>
          <w:rFonts w:hint="eastAsia"/>
        </w:rPr>
        <w:t>9.3响应单位拟派出的项目负责人要求具备贰级（含）以上注册建造师资质，并取得安全生产考核合格证（B类）；须提供项目负责人社保机构出具近6个月（2024年1月至2024年6月）响应单位为其缴纳的养老保险缴费证明材料（并加盖社保中心章或社保中心参保缴费证明电子专用章）。</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五、获取招标文件的信息</w:t>
      </w:r>
    </w:p>
    <w:p>
      <w:pPr>
        <w:spacing w:after="0" w:line="360" w:lineRule="auto"/>
        <w:ind w:left="240" w:leftChars="109" w:firstLine="240" w:firstLineChars="100"/>
        <w:rPr>
          <w:rFonts w:ascii="宋体" w:hAnsi="宋体" w:eastAsia="宋体" w:cs="宋体"/>
          <w:sz w:val="24"/>
          <w:szCs w:val="24"/>
        </w:rPr>
      </w:pPr>
      <w:r>
        <w:rPr>
          <w:rFonts w:hint="eastAsia" w:ascii="宋体" w:hAnsi="宋体" w:eastAsia="宋体" w:cs="宋体"/>
          <w:sz w:val="24"/>
          <w:szCs w:val="24"/>
        </w:rPr>
        <w:t>（一）公告期限：自采购公告发布之日起20天，自2024年5月21日—  2024年6月9日。</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六、投标截止时间及开标信息</w:t>
      </w:r>
    </w:p>
    <w:p>
      <w:pPr>
        <w:spacing w:after="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（一）投标文件接收截止时间及开标时间：2024年6月</w:t>
      </w:r>
      <w:r>
        <w:rPr>
          <w:rFonts w:hint="eastAsia" w:ascii="宋体" w:hAnsi="宋体" w:eastAsia="宋体" w:cs="宋体"/>
          <w:sz w:val="24"/>
          <w:szCs w:val="24"/>
          <w:lang w:val="en-US" w:eastAsia="zh-CN"/>
        </w:rPr>
        <w:t>12</w:t>
      </w:r>
      <w:bookmarkStart w:id="187" w:name="_GoBack"/>
      <w:bookmarkEnd w:id="187"/>
      <w:r>
        <w:rPr>
          <w:rFonts w:hint="eastAsia" w:ascii="宋体" w:hAnsi="宋体" w:eastAsia="宋体" w:cs="宋体"/>
          <w:sz w:val="24"/>
          <w:szCs w:val="24"/>
        </w:rPr>
        <w:t>日09时15</w:t>
      </w:r>
      <w:r>
        <w:rPr>
          <w:rFonts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p>
    <w:p>
      <w:pPr>
        <w:spacing w:after="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（二）开标地点：江苏省南京市江宁区龙眠大道101号南京医科大学江宁校区德馨楼B201</w:t>
      </w:r>
      <w:r>
        <w:rPr>
          <w:rFonts w:hint="eastAsia" w:ascii="宋体" w:hAnsi="宋体" w:eastAsia="宋体" w:cs="宋体"/>
          <w:sz w:val="24"/>
          <w:szCs w:val="24"/>
          <w:lang w:val="en-US" w:eastAsia="zh-CN"/>
        </w:rPr>
        <w:t>室。</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（三）投标文件接收要求：投标文件一式五份，其中正本一份、副本四份，在标书封面标注“正本”、“副本”字样，投标文件密封并在封口处加盖公章。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项目联系人：厉老师       联系电话：86868474</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招标联系人：仲老师       联系电话：86869283</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1896745</wp:posOffset>
            </wp:positionH>
            <wp:positionV relativeFrom="paragraph">
              <wp:posOffset>-11430</wp:posOffset>
            </wp:positionV>
            <wp:extent cx="1113790" cy="1591310"/>
            <wp:effectExtent l="0" t="0" r="0" b="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cstate="print"/>
                    <a:stretch>
                      <a:fillRect/>
                    </a:stretch>
                  </pic:blipFill>
                  <pic:spPr>
                    <a:xfrm>
                      <a:off x="0" y="0"/>
                      <a:ext cx="1113790" cy="1591310"/>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点击“入校申请”。（系统内访问部门：资产和产业管理处，人员：仲为国，联系方式：025-86869283）。</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cstate="print"/>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2"/>
        <w:ind w:firstLine="480"/>
        <w:rPr>
          <w:rFonts w:ascii="宋体" w:hAnsi="宋体" w:cs="宋体"/>
          <w:sz w:val="24"/>
          <w:szCs w:val="24"/>
        </w:rPr>
      </w:pPr>
    </w:p>
    <w:p>
      <w:pPr>
        <w:rPr>
          <w:rFonts w:ascii="宋体" w:hAnsi="宋体" w:eastAsia="宋体" w:cs="宋体"/>
          <w:sz w:val="24"/>
          <w:szCs w:val="24"/>
        </w:rPr>
      </w:pPr>
    </w:p>
    <w:p>
      <w:pPr>
        <w:pStyle w:val="2"/>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八、投标无效的情形</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Lines="5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Lines="5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九、其他</w:t>
      </w:r>
    </w:p>
    <w:p>
      <w:pPr>
        <w:spacing w:beforeLines="5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31"/>
        <w:spacing w:beforeLines="50" w:afterLines="50" w:line="360" w:lineRule="auto"/>
        <w:ind w:firstLine="640"/>
        <w:rPr>
          <w:rFonts w:asciiTheme="minorEastAsia" w:hAnsiTheme="minorEastAsia" w:eastAsiaTheme="minorEastAsia"/>
          <w:bCs/>
          <w:sz w:val="32"/>
          <w:szCs w:val="28"/>
        </w:rPr>
      </w:pPr>
    </w:p>
    <w:bookmarkEnd w:id="9"/>
    <w:bookmarkEnd w:id="10"/>
    <w:bookmarkEnd w:id="11"/>
    <w:bookmarkEnd w:id="12"/>
    <w:bookmarkEnd w:id="13"/>
    <w:bookmarkEnd w:id="14"/>
    <w:bookmarkEnd w:id="15"/>
    <w:bookmarkEnd w:id="16"/>
    <w:bookmarkEnd w:id="17"/>
    <w:p>
      <w:pPr>
        <w:pStyle w:val="5"/>
        <w:pageBreakBefore/>
        <w:rPr>
          <w:rFonts w:asciiTheme="majorEastAsia" w:hAnsiTheme="majorEastAsia" w:eastAsiaTheme="majorEastAsia"/>
          <w:b/>
          <w:sz w:val="44"/>
        </w:rPr>
      </w:pPr>
      <w:bookmarkStart w:id="18" w:name="_Toc523931346"/>
      <w:r>
        <w:rPr>
          <w:rFonts w:hint="eastAsia" w:asciiTheme="majorEastAsia" w:hAnsiTheme="majorEastAsia" w:eastAsiaTheme="majorEastAsia"/>
          <w:b/>
          <w:sz w:val="44"/>
        </w:rPr>
        <w:t xml:space="preserve">第二章  </w:t>
      </w:r>
      <w:bookmarkStart w:id="19" w:name="_Toc513029202"/>
      <w:bookmarkStart w:id="20" w:name="_Toc120614213"/>
      <w:bookmarkStart w:id="21" w:name="_Toc20823274"/>
      <w:bookmarkStart w:id="22" w:name="_Toc16938518"/>
      <w:r>
        <w:rPr>
          <w:rFonts w:hint="eastAsia" w:asciiTheme="majorEastAsia" w:hAnsiTheme="majorEastAsia" w:eastAsiaTheme="majorEastAsia"/>
          <w:b/>
          <w:sz w:val="44"/>
        </w:rPr>
        <w:t>投标人须知</w:t>
      </w:r>
      <w:bookmarkEnd w:id="18"/>
      <w:bookmarkEnd w:id="19"/>
      <w:bookmarkEnd w:id="20"/>
      <w:bookmarkEnd w:id="21"/>
      <w:bookmarkEnd w:id="22"/>
    </w:p>
    <w:p>
      <w:pPr>
        <w:pStyle w:val="32"/>
        <w:rPr>
          <w:rFonts w:ascii="宋体" w:hAnsi="宋体" w:cs="宋体"/>
          <w:b/>
        </w:rPr>
      </w:pPr>
      <w:bookmarkStart w:id="23" w:name="_Toc16938519"/>
      <w:bookmarkStart w:id="24" w:name="_Toc20823275"/>
      <w:bookmarkStart w:id="25" w:name="_Toc513029203"/>
      <w:bookmarkStart w:id="26" w:name="_Toc120614214"/>
      <w:r>
        <w:rPr>
          <w:rFonts w:hint="eastAsia" w:ascii="宋体" w:hAnsi="宋体" w:cs="宋体"/>
          <w:b/>
        </w:rPr>
        <w:t>一、总则</w:t>
      </w:r>
      <w:bookmarkEnd w:id="23"/>
      <w:bookmarkEnd w:id="24"/>
      <w:bookmarkEnd w:id="25"/>
      <w:bookmarkEnd w:id="26"/>
    </w:p>
    <w:p>
      <w:pPr>
        <w:pStyle w:val="32"/>
        <w:rPr>
          <w:rFonts w:ascii="宋体" w:hAnsi="宋体" w:cs="宋体"/>
          <w:b/>
          <w:bCs/>
        </w:rPr>
      </w:pPr>
      <w:bookmarkStart w:id="27" w:name="_Hlt16619475"/>
      <w:bookmarkEnd w:id="27"/>
      <w:bookmarkStart w:id="28" w:name="_Toc458694821"/>
      <w:bookmarkStart w:id="29" w:name="_Toc20823276"/>
      <w:bookmarkStart w:id="30" w:name="_Toc513029204"/>
      <w:bookmarkStart w:id="31" w:name="_Toc16938520"/>
      <w:r>
        <w:rPr>
          <w:rFonts w:hint="eastAsia" w:ascii="宋体" w:hAnsi="宋体" w:cs="宋体"/>
          <w:b/>
          <w:bCs/>
        </w:rPr>
        <w:t>1</w:t>
      </w:r>
      <w:bookmarkEnd w:id="28"/>
      <w:r>
        <w:rPr>
          <w:rFonts w:hint="eastAsia" w:ascii="宋体" w:hAnsi="宋体" w:cs="宋体"/>
          <w:b/>
          <w:bCs/>
        </w:rPr>
        <w:t>.招标方式</w:t>
      </w:r>
      <w:bookmarkEnd w:id="29"/>
      <w:bookmarkEnd w:id="30"/>
      <w:bookmarkEnd w:id="31"/>
    </w:p>
    <w:p>
      <w:pPr>
        <w:pStyle w:val="32"/>
        <w:rPr>
          <w:rFonts w:ascii="宋体" w:hAnsi="宋体" w:cs="宋体"/>
        </w:rPr>
      </w:pPr>
      <w:r>
        <w:rPr>
          <w:rFonts w:hint="eastAsia" w:ascii="宋体" w:hAnsi="宋体" w:cs="宋体"/>
        </w:rPr>
        <w:t>1.1 本次招标采取公开招标方式，本招标文件仅适用于招标公告中所述项目。</w:t>
      </w:r>
    </w:p>
    <w:p>
      <w:pPr>
        <w:pStyle w:val="32"/>
        <w:rPr>
          <w:rFonts w:ascii="宋体" w:hAnsi="宋体" w:cs="宋体"/>
          <w:b/>
          <w:bCs/>
        </w:rPr>
      </w:pPr>
      <w:bookmarkStart w:id="32" w:name="_Toc513029205"/>
      <w:bookmarkStart w:id="33" w:name="_Toc16938521"/>
      <w:bookmarkStart w:id="34" w:name="_Toc20823277"/>
      <w:r>
        <w:rPr>
          <w:rFonts w:hint="eastAsia" w:ascii="宋体" w:hAnsi="宋体" w:cs="宋体"/>
          <w:b/>
          <w:bCs/>
        </w:rPr>
        <w:t>2.合格的投标人</w:t>
      </w:r>
      <w:bookmarkEnd w:id="32"/>
      <w:bookmarkEnd w:id="33"/>
      <w:bookmarkEnd w:id="34"/>
    </w:p>
    <w:p>
      <w:pPr>
        <w:pStyle w:val="32"/>
        <w:rPr>
          <w:rFonts w:ascii="宋体" w:hAnsi="宋体" w:cs="宋体"/>
        </w:rPr>
      </w:pPr>
      <w:r>
        <w:rPr>
          <w:rFonts w:hint="eastAsia" w:ascii="宋体" w:hAnsi="宋体" w:cs="宋体"/>
        </w:rPr>
        <w:t>2.1满足招标公告中供应商资格要求的规定。</w:t>
      </w:r>
    </w:p>
    <w:p>
      <w:pPr>
        <w:pStyle w:val="32"/>
        <w:rPr>
          <w:rFonts w:ascii="宋体" w:hAnsi="宋体" w:cs="宋体"/>
        </w:rPr>
      </w:pPr>
      <w:r>
        <w:rPr>
          <w:rFonts w:hint="eastAsia" w:ascii="宋体" w:hAnsi="宋体" w:cs="宋体"/>
        </w:rPr>
        <w:t>2.2 满足本文件实质性条款的规定。</w:t>
      </w:r>
    </w:p>
    <w:p>
      <w:pPr>
        <w:pStyle w:val="32"/>
        <w:rPr>
          <w:rFonts w:ascii="宋体" w:hAnsi="宋体" w:cs="宋体"/>
          <w:b/>
          <w:bCs/>
        </w:rPr>
      </w:pPr>
      <w:bookmarkStart w:id="35" w:name="_Toc513029206"/>
      <w:bookmarkStart w:id="36" w:name="_Toc20823278"/>
      <w:bookmarkStart w:id="37" w:name="_Toc16938522"/>
      <w:r>
        <w:rPr>
          <w:rFonts w:hint="eastAsia" w:ascii="宋体" w:hAnsi="宋体" w:cs="宋体"/>
          <w:b/>
          <w:bCs/>
        </w:rPr>
        <w:t>3.适用法律</w:t>
      </w:r>
      <w:bookmarkEnd w:id="35"/>
      <w:bookmarkEnd w:id="36"/>
      <w:bookmarkEnd w:id="37"/>
    </w:p>
    <w:p>
      <w:pPr>
        <w:pStyle w:val="32"/>
        <w:rPr>
          <w:rFonts w:ascii="宋体" w:hAnsi="宋体" w:cs="宋体"/>
        </w:rPr>
      </w:pPr>
      <w:r>
        <w:rPr>
          <w:rFonts w:hint="eastAsia" w:ascii="宋体" w:hAnsi="宋体" w:cs="宋体"/>
        </w:rPr>
        <w:t>本次招标及由此产生的合同受中华人民共和国有关的法律法规制约和保护。</w:t>
      </w:r>
    </w:p>
    <w:p>
      <w:pPr>
        <w:pStyle w:val="32"/>
        <w:rPr>
          <w:rFonts w:ascii="宋体" w:hAnsi="宋体" w:cs="宋体"/>
          <w:b/>
          <w:bCs/>
        </w:rPr>
      </w:pPr>
      <w:bookmarkStart w:id="38" w:name="_Toc462564067"/>
      <w:bookmarkStart w:id="39" w:name="_Toc16938523"/>
      <w:bookmarkStart w:id="40" w:name="_Toc20823279"/>
      <w:bookmarkStart w:id="41" w:name="_Toc513029207"/>
      <w:r>
        <w:rPr>
          <w:rFonts w:hint="eastAsia" w:ascii="宋体" w:hAnsi="宋体" w:cs="宋体"/>
          <w:b/>
          <w:bCs/>
        </w:rPr>
        <w:t>4.投标费用</w:t>
      </w:r>
      <w:bookmarkEnd w:id="38"/>
      <w:bookmarkEnd w:id="39"/>
      <w:bookmarkEnd w:id="40"/>
      <w:bookmarkEnd w:id="41"/>
    </w:p>
    <w:p>
      <w:pPr>
        <w:pStyle w:val="32"/>
        <w:rPr>
          <w:rFonts w:ascii="宋体" w:hAnsi="宋体" w:cs="宋体"/>
        </w:rPr>
      </w:pPr>
      <w:r>
        <w:rPr>
          <w:rFonts w:hint="eastAsia" w:ascii="宋体" w:hAnsi="宋体" w:cs="宋体"/>
        </w:rPr>
        <w:t>投标人应自行承担所有与参加投标有关的费用。</w:t>
      </w:r>
    </w:p>
    <w:p>
      <w:pPr>
        <w:pStyle w:val="32"/>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32"/>
        <w:rPr>
          <w:rFonts w:ascii="宋体" w:hAnsi="宋体" w:cs="宋体"/>
        </w:rPr>
      </w:pPr>
      <w:r>
        <w:rPr>
          <w:rFonts w:hint="eastAsia" w:ascii="宋体" w:hAnsi="宋体" w:cs="宋体"/>
        </w:rPr>
        <w:t>投标人一旦参加本项目采购活动，即被认为接受了本招标文件的规定和约束。</w:t>
      </w:r>
    </w:p>
    <w:p>
      <w:pPr>
        <w:pStyle w:val="32"/>
        <w:rPr>
          <w:rFonts w:ascii="宋体" w:hAnsi="宋体" w:cs="宋体"/>
          <w:b/>
        </w:rPr>
      </w:pPr>
      <w:bookmarkStart w:id="42" w:name="_Toc120614215"/>
      <w:bookmarkStart w:id="43" w:name="_Toc16938525"/>
      <w:bookmarkStart w:id="44" w:name="_Toc517190883"/>
      <w:bookmarkStart w:id="45" w:name="_Toc513029209"/>
      <w:bookmarkStart w:id="46" w:name="_Toc20823281"/>
      <w:r>
        <w:rPr>
          <w:rFonts w:hint="eastAsia" w:ascii="宋体" w:hAnsi="宋体" w:cs="宋体"/>
          <w:b/>
        </w:rPr>
        <w:t>二、招标文件</w:t>
      </w:r>
      <w:bookmarkEnd w:id="42"/>
      <w:bookmarkEnd w:id="43"/>
      <w:bookmarkEnd w:id="44"/>
      <w:bookmarkEnd w:id="45"/>
      <w:bookmarkEnd w:id="46"/>
    </w:p>
    <w:p>
      <w:pPr>
        <w:pStyle w:val="32"/>
        <w:rPr>
          <w:rFonts w:ascii="宋体" w:hAnsi="宋体" w:cs="宋体"/>
          <w:b/>
          <w:bCs/>
        </w:rPr>
      </w:pPr>
      <w:bookmarkStart w:id="47" w:name="_Toc20823282"/>
      <w:bookmarkStart w:id="48" w:name="_Toc513029210"/>
      <w:bookmarkStart w:id="49" w:name="_Toc16938526"/>
      <w:r>
        <w:rPr>
          <w:rFonts w:hint="eastAsia" w:ascii="宋体" w:hAnsi="宋体" w:cs="宋体"/>
          <w:b/>
          <w:bCs/>
        </w:rPr>
        <w:t>6.招标文件构成</w:t>
      </w:r>
      <w:bookmarkEnd w:id="47"/>
      <w:bookmarkEnd w:id="48"/>
      <w:bookmarkEnd w:id="49"/>
    </w:p>
    <w:p>
      <w:pPr>
        <w:pStyle w:val="32"/>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32"/>
        <w:rPr>
          <w:rFonts w:ascii="宋体" w:hAnsi="宋体" w:cs="宋体"/>
        </w:rPr>
      </w:pPr>
      <w:r>
        <w:rPr>
          <w:rFonts w:hint="eastAsia" w:ascii="宋体" w:hAnsi="宋体" w:cs="宋体"/>
        </w:rPr>
        <w:t>（1）招标公告</w:t>
      </w:r>
    </w:p>
    <w:p>
      <w:pPr>
        <w:pStyle w:val="32"/>
        <w:rPr>
          <w:rFonts w:ascii="宋体" w:hAnsi="宋体" w:cs="宋体"/>
        </w:rPr>
      </w:pPr>
      <w:r>
        <w:rPr>
          <w:rFonts w:hint="eastAsia" w:ascii="宋体" w:hAnsi="宋体" w:cs="宋体"/>
        </w:rPr>
        <w:t>（2）投标人须知</w:t>
      </w:r>
    </w:p>
    <w:p>
      <w:pPr>
        <w:pStyle w:val="32"/>
        <w:rPr>
          <w:rFonts w:ascii="宋体" w:hAnsi="宋体" w:cs="宋体"/>
        </w:rPr>
      </w:pPr>
      <w:r>
        <w:rPr>
          <w:rFonts w:hint="eastAsia" w:ascii="宋体" w:hAnsi="宋体" w:cs="宋体"/>
        </w:rPr>
        <w:t>（3）项目需求</w:t>
      </w:r>
    </w:p>
    <w:p>
      <w:pPr>
        <w:pStyle w:val="32"/>
        <w:rPr>
          <w:rFonts w:ascii="宋体" w:hAnsi="宋体" w:cs="宋体"/>
        </w:rPr>
      </w:pPr>
      <w:r>
        <w:rPr>
          <w:rFonts w:hint="eastAsia" w:ascii="宋体" w:hAnsi="宋体" w:cs="宋体"/>
        </w:rPr>
        <w:t>（4）评标方法与评标标准</w:t>
      </w:r>
    </w:p>
    <w:p>
      <w:pPr>
        <w:pStyle w:val="32"/>
        <w:rPr>
          <w:rFonts w:ascii="宋体" w:hAnsi="宋体" w:cs="宋体"/>
        </w:rPr>
      </w:pPr>
      <w:r>
        <w:rPr>
          <w:rFonts w:hint="eastAsia" w:ascii="宋体" w:hAnsi="宋体" w:cs="宋体"/>
        </w:rPr>
        <w:t>（5）投标文件格式</w:t>
      </w:r>
    </w:p>
    <w:p>
      <w:pPr>
        <w:pStyle w:val="32"/>
        <w:rPr>
          <w:rFonts w:ascii="宋体" w:hAnsi="宋体" w:cs="宋体"/>
        </w:rPr>
      </w:pPr>
      <w:r>
        <w:rPr>
          <w:rFonts w:hint="eastAsia" w:ascii="宋体" w:hAnsi="宋体" w:cs="宋体"/>
        </w:rPr>
        <w:t>（6）签订合同范本</w:t>
      </w:r>
    </w:p>
    <w:p>
      <w:pPr>
        <w:pStyle w:val="32"/>
        <w:rPr>
          <w:rFonts w:ascii="宋体" w:hAnsi="宋体" w:cs="宋体"/>
        </w:rPr>
      </w:pPr>
      <w:r>
        <w:rPr>
          <w:rFonts w:hint="eastAsia" w:ascii="宋体" w:hAnsi="宋体" w:cs="宋体"/>
        </w:rPr>
        <w:t>请仔细检查招标文件是否齐全，如有缺漏请立即与采购人联系解决。</w:t>
      </w:r>
    </w:p>
    <w:p>
      <w:pPr>
        <w:pStyle w:val="32"/>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32"/>
        <w:rPr>
          <w:rFonts w:ascii="宋体" w:hAnsi="宋体" w:cs="宋体"/>
          <w:b/>
          <w:bCs/>
        </w:rPr>
      </w:pPr>
      <w:bookmarkStart w:id="50" w:name="_Toc513029211"/>
      <w:bookmarkStart w:id="51" w:name="_Toc462564070"/>
      <w:bookmarkStart w:id="52" w:name="_Toc16938527"/>
      <w:bookmarkStart w:id="53" w:name="_Toc20823283"/>
      <w:r>
        <w:rPr>
          <w:rFonts w:hint="eastAsia" w:ascii="宋体" w:hAnsi="宋体" w:cs="宋体"/>
          <w:b/>
          <w:bCs/>
        </w:rPr>
        <w:t>7.招标文件的澄清</w:t>
      </w:r>
      <w:bookmarkEnd w:id="50"/>
      <w:bookmarkEnd w:id="51"/>
      <w:bookmarkEnd w:id="52"/>
      <w:bookmarkEnd w:id="53"/>
    </w:p>
    <w:p>
      <w:pPr>
        <w:pStyle w:val="32"/>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32"/>
        <w:rPr>
          <w:rFonts w:ascii="宋体" w:hAnsi="宋体" w:cs="宋体"/>
          <w:b/>
          <w:bCs/>
        </w:rPr>
      </w:pPr>
      <w:bookmarkStart w:id="54" w:name="_Toc16938528"/>
      <w:bookmarkStart w:id="55" w:name="_Toc513029212"/>
      <w:bookmarkStart w:id="56" w:name="_Toc20823284"/>
      <w:bookmarkStart w:id="57" w:name="_Toc462564071"/>
      <w:r>
        <w:rPr>
          <w:rFonts w:hint="eastAsia" w:ascii="宋体" w:hAnsi="宋体" w:cs="宋体"/>
          <w:b/>
          <w:bCs/>
        </w:rPr>
        <w:t>8.招标文件的修改</w:t>
      </w:r>
      <w:bookmarkEnd w:id="54"/>
      <w:bookmarkEnd w:id="55"/>
      <w:bookmarkEnd w:id="56"/>
      <w:bookmarkEnd w:id="57"/>
    </w:p>
    <w:p>
      <w:pPr>
        <w:pStyle w:val="32"/>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32"/>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32"/>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32"/>
        <w:rPr>
          <w:rFonts w:ascii="宋体" w:hAnsi="宋体" w:cs="宋体"/>
          <w:b/>
        </w:rPr>
      </w:pPr>
      <w:bookmarkStart w:id="58" w:name="_Toc513029213"/>
      <w:bookmarkStart w:id="59" w:name="_Toc462564072"/>
      <w:bookmarkStart w:id="60" w:name="_Toc16938529"/>
      <w:bookmarkStart w:id="61" w:name="_Toc517190884"/>
      <w:bookmarkStart w:id="62" w:name="_Toc20823285"/>
      <w:bookmarkStart w:id="63" w:name="_Toc120614216"/>
      <w:r>
        <w:rPr>
          <w:rFonts w:hint="eastAsia" w:ascii="宋体" w:hAnsi="宋体" w:cs="宋体"/>
          <w:b/>
        </w:rPr>
        <w:t>三、投标文件的编制</w:t>
      </w:r>
      <w:bookmarkEnd w:id="58"/>
      <w:bookmarkEnd w:id="59"/>
      <w:bookmarkEnd w:id="60"/>
      <w:bookmarkEnd w:id="61"/>
      <w:bookmarkEnd w:id="62"/>
      <w:bookmarkEnd w:id="63"/>
    </w:p>
    <w:p>
      <w:pPr>
        <w:pStyle w:val="32"/>
        <w:rPr>
          <w:rFonts w:ascii="宋体" w:hAnsi="宋体" w:cs="宋体"/>
          <w:bCs/>
        </w:rPr>
      </w:pPr>
      <w:bookmarkStart w:id="64" w:name="_Toc16938530"/>
      <w:bookmarkStart w:id="65" w:name="_Toc513029214"/>
      <w:bookmarkStart w:id="66" w:name="_Toc462564073"/>
      <w:bookmarkStart w:id="67" w:name="_Toc20823286"/>
      <w:r>
        <w:rPr>
          <w:rFonts w:hint="eastAsia" w:ascii="宋体" w:hAnsi="宋体" w:cs="宋体"/>
          <w:b/>
          <w:bCs/>
        </w:rPr>
        <w:t>9.投标文件的语言及度量衡单位</w:t>
      </w:r>
      <w:bookmarkEnd w:id="64"/>
      <w:bookmarkEnd w:id="65"/>
      <w:bookmarkEnd w:id="66"/>
      <w:bookmarkEnd w:id="67"/>
    </w:p>
    <w:p>
      <w:pPr>
        <w:pStyle w:val="32"/>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投标人提交的投标文件以及投标人与采购人就有关投标的所有来往通知、函件和文件均应使用简体中文。</w:t>
      </w:r>
    </w:p>
    <w:p>
      <w:pPr>
        <w:pStyle w:val="32"/>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32"/>
        <w:rPr>
          <w:rFonts w:ascii="宋体" w:hAnsi="宋体" w:cs="宋体"/>
          <w:b/>
          <w:bCs/>
        </w:rPr>
      </w:pPr>
      <w:bookmarkStart w:id="68" w:name="_Toc16938531"/>
      <w:bookmarkStart w:id="69" w:name="_Toc20823287"/>
      <w:bookmarkStart w:id="70" w:name="_Toc462564074"/>
      <w:bookmarkStart w:id="71" w:name="_Toc513029215"/>
      <w:r>
        <w:rPr>
          <w:rFonts w:hint="eastAsia" w:ascii="宋体" w:hAnsi="宋体" w:cs="宋体"/>
          <w:b/>
          <w:bCs/>
        </w:rPr>
        <w:t>10.投标文件构成</w:t>
      </w:r>
      <w:bookmarkEnd w:id="68"/>
      <w:bookmarkEnd w:id="69"/>
      <w:bookmarkEnd w:id="70"/>
      <w:bookmarkEnd w:id="71"/>
    </w:p>
    <w:p>
      <w:pPr>
        <w:pStyle w:val="32"/>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32"/>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32"/>
        <w:rPr>
          <w:rFonts w:ascii="宋体" w:hAnsi="宋体" w:cs="宋体"/>
          <w:b/>
          <w:bCs/>
        </w:rPr>
      </w:pPr>
      <w:bookmarkStart w:id="72" w:name="_Hlt26954838"/>
      <w:bookmarkEnd w:id="72"/>
      <w:bookmarkStart w:id="73" w:name="_Hlt26670360"/>
      <w:bookmarkEnd w:id="73"/>
      <w:bookmarkStart w:id="74" w:name="_Hlt26668975"/>
      <w:bookmarkEnd w:id="74"/>
      <w:bookmarkStart w:id="75" w:name="_Toc513029219"/>
      <w:bookmarkStart w:id="76" w:name="_Toc14577357"/>
      <w:bookmarkStart w:id="77" w:name="_Toc49090509"/>
      <w:bookmarkStart w:id="78" w:name="_Toc513029216"/>
      <w:bookmarkStart w:id="79" w:name="_Toc14577354"/>
      <w:bookmarkStart w:id="80" w:name="_Toc49090507"/>
      <w:r>
        <w:rPr>
          <w:rFonts w:hint="eastAsia" w:ascii="宋体" w:hAnsi="宋体" w:cs="宋体"/>
          <w:b/>
          <w:bCs/>
        </w:rPr>
        <w:t>11.证明投标人资格及符合招标文件规定的文件</w:t>
      </w:r>
      <w:bookmarkEnd w:id="75"/>
      <w:bookmarkEnd w:id="76"/>
      <w:bookmarkEnd w:id="77"/>
    </w:p>
    <w:p>
      <w:pPr>
        <w:pStyle w:val="32"/>
        <w:rPr>
          <w:rFonts w:ascii="宋体" w:hAnsi="宋体" w:cs="宋体"/>
        </w:rPr>
      </w:pPr>
      <w:r>
        <w:rPr>
          <w:rFonts w:hint="eastAsia" w:ascii="宋体" w:hAnsi="宋体" w:cs="宋体"/>
        </w:rPr>
        <w:t>11.1</w:t>
      </w:r>
      <w:bookmarkStart w:id="81" w:name="_Hlt26668999"/>
      <w:bookmarkEnd w:id="81"/>
      <w:r>
        <w:rPr>
          <w:rFonts w:hint="eastAsia" w:ascii="宋体" w:hAnsi="宋体" w:cs="宋体"/>
        </w:rPr>
        <w:t>投标人应按要求提交资格证明文件及符合招标文件规定的文件。</w:t>
      </w:r>
    </w:p>
    <w:p>
      <w:pPr>
        <w:pStyle w:val="32"/>
        <w:rPr>
          <w:rFonts w:ascii="宋体" w:hAnsi="宋体" w:cs="宋体"/>
        </w:rPr>
      </w:pPr>
      <w:r>
        <w:rPr>
          <w:rFonts w:hint="eastAsia" w:ascii="宋体" w:hAnsi="宋体" w:cs="宋体"/>
        </w:rPr>
        <w:t>11.2投标人应具有资格参加投标和中标后有能力独立履行合同的能力。</w:t>
      </w:r>
    </w:p>
    <w:p>
      <w:pPr>
        <w:pStyle w:val="32"/>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32"/>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32"/>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8"/>
    <w:bookmarkEnd w:id="79"/>
    <w:bookmarkEnd w:id="80"/>
    <w:p>
      <w:pPr>
        <w:pStyle w:val="32"/>
        <w:rPr>
          <w:rFonts w:ascii="宋体" w:hAnsi="宋体" w:cs="宋体"/>
          <w:b/>
          <w:bCs/>
        </w:rPr>
      </w:pPr>
      <w:bookmarkStart w:id="82" w:name="_Toc14577355"/>
      <w:bookmarkStart w:id="83" w:name="_Toc49090508"/>
      <w:r>
        <w:rPr>
          <w:rFonts w:hint="eastAsia" w:ascii="宋体" w:hAnsi="宋体" w:cs="宋体"/>
          <w:b/>
          <w:bCs/>
        </w:rPr>
        <w:t>12.供货一览表与分项报价</w:t>
      </w:r>
      <w:bookmarkEnd w:id="82"/>
      <w:bookmarkStart w:id="84" w:name="_Hlt26670373"/>
      <w:bookmarkEnd w:id="84"/>
      <w:r>
        <w:rPr>
          <w:rFonts w:hint="eastAsia" w:ascii="宋体" w:hAnsi="宋体" w:cs="宋体"/>
          <w:b/>
          <w:bCs/>
        </w:rPr>
        <w:t>表</w:t>
      </w:r>
      <w:bookmarkEnd w:id="83"/>
    </w:p>
    <w:p>
      <w:pPr>
        <w:pStyle w:val="32"/>
        <w:rPr>
          <w:rFonts w:ascii="宋体" w:hAnsi="宋体" w:cs="宋体"/>
          <w:bCs/>
        </w:rPr>
      </w:pPr>
      <w:r>
        <w:rPr>
          <w:rFonts w:hint="eastAsia" w:ascii="宋体" w:hAnsi="宋体" w:cs="宋体"/>
        </w:rPr>
        <w:t>投</w:t>
      </w:r>
      <w:bookmarkStart w:id="85" w:name="_Hlt26954840"/>
      <w:bookmarkEnd w:id="85"/>
      <w:r>
        <w:rPr>
          <w:rFonts w:hint="eastAsia" w:ascii="宋体" w:hAnsi="宋体" w:cs="宋体"/>
        </w:rPr>
        <w:t>标人应按照招标文件规定格式填报供货一览表与分项报价表</w:t>
      </w:r>
      <w:bookmarkStart w:id="86" w:name="_Hlt26670399"/>
      <w:bookmarkEnd w:id="86"/>
      <w:r>
        <w:rPr>
          <w:rFonts w:hint="eastAsia" w:ascii="宋体" w:hAnsi="宋体" w:cs="宋体"/>
        </w:rPr>
        <w:t>。每项货物和服务等只允许有一个报价，任何有选择的报价将不予接受(如有备选配件，备选配件的报价不属于选择的报价)。</w:t>
      </w:r>
    </w:p>
    <w:p>
      <w:pPr>
        <w:pStyle w:val="32"/>
        <w:rPr>
          <w:rFonts w:ascii="宋体" w:hAnsi="宋体" w:cs="宋体"/>
          <w:bCs/>
        </w:rPr>
      </w:pPr>
      <w:r>
        <w:rPr>
          <w:rFonts w:hint="eastAsia" w:ascii="宋体" w:hAnsi="宋体" w:cs="宋体"/>
        </w:rPr>
        <w:t>12.3</w:t>
      </w:r>
      <w:r>
        <w:rPr>
          <w:rFonts w:hint="eastAsia" w:ascii="宋体" w:hAnsi="宋体" w:cs="宋体"/>
          <w:bCs/>
        </w:rPr>
        <w:t>有关费用处理</w:t>
      </w:r>
    </w:p>
    <w:p>
      <w:pPr>
        <w:pStyle w:val="32"/>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32"/>
        <w:rPr>
          <w:rFonts w:ascii="宋体" w:hAnsi="宋体" w:cs="宋体"/>
          <w:bCs/>
        </w:rPr>
      </w:pPr>
      <w:r>
        <w:rPr>
          <w:rFonts w:hint="eastAsia" w:ascii="宋体" w:hAnsi="宋体" w:cs="宋体"/>
        </w:rPr>
        <w:t>12.4</w:t>
      </w:r>
      <w:r>
        <w:rPr>
          <w:rFonts w:hint="eastAsia" w:ascii="宋体" w:hAnsi="宋体" w:cs="宋体"/>
          <w:bCs/>
        </w:rPr>
        <w:t>其它费用处理</w:t>
      </w:r>
    </w:p>
    <w:p>
      <w:pPr>
        <w:pStyle w:val="32"/>
        <w:rPr>
          <w:rFonts w:ascii="宋体" w:hAnsi="宋体" w:cs="宋体"/>
          <w:bCs/>
        </w:rPr>
      </w:pPr>
      <w:r>
        <w:rPr>
          <w:rFonts w:hint="eastAsia" w:ascii="宋体" w:hAnsi="宋体" w:cs="宋体"/>
          <w:bCs/>
        </w:rPr>
        <w:t>招标文件未列明，而投标人认为必需的费用也需列入报价。</w:t>
      </w:r>
    </w:p>
    <w:p>
      <w:pPr>
        <w:pStyle w:val="32"/>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32"/>
        <w:rPr>
          <w:rFonts w:ascii="宋体" w:hAnsi="宋体" w:cs="宋体"/>
          <w:bCs/>
        </w:rPr>
      </w:pPr>
      <w:bookmarkStart w:id="87" w:name="_Hlt26954842"/>
      <w:bookmarkEnd w:id="87"/>
      <w:bookmarkStart w:id="88" w:name="_Hlt26670403"/>
      <w:bookmarkEnd w:id="88"/>
      <w:bookmarkStart w:id="89" w:name="_Hlt26954844"/>
      <w:bookmarkEnd w:id="89"/>
      <w:bookmarkStart w:id="90" w:name="_Hlt26670425"/>
      <w:bookmarkEnd w:id="90"/>
      <w:bookmarkStart w:id="91" w:name="_Hlt26668983"/>
      <w:bookmarkEnd w:id="91"/>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32"/>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32"/>
        <w:rPr>
          <w:rFonts w:ascii="宋体" w:hAnsi="宋体" w:cs="宋体"/>
          <w:b/>
          <w:bCs/>
        </w:rPr>
      </w:pPr>
      <w:bookmarkStart w:id="92" w:name="_Hlt26954731"/>
      <w:bookmarkEnd w:id="92"/>
      <w:bookmarkStart w:id="93" w:name="_Hlt26954848"/>
      <w:bookmarkEnd w:id="93"/>
      <w:bookmarkStart w:id="94" w:name="_Hlt26670486"/>
      <w:bookmarkEnd w:id="94"/>
      <w:bookmarkStart w:id="95" w:name="_Hlt26670482"/>
      <w:bookmarkEnd w:id="95"/>
      <w:bookmarkStart w:id="96" w:name="_Hlt26954846"/>
      <w:bookmarkEnd w:id="96"/>
      <w:r>
        <w:rPr>
          <w:rFonts w:hint="eastAsia" w:ascii="宋体" w:hAnsi="宋体" w:cs="宋体"/>
          <w:b/>
          <w:bCs/>
        </w:rPr>
        <w:t>13.技术参数响应及偏离表和投标货物说明</w:t>
      </w:r>
    </w:p>
    <w:p>
      <w:pPr>
        <w:pStyle w:val="32"/>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32"/>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32"/>
        <w:rPr>
          <w:rFonts w:ascii="宋体" w:hAnsi="宋体" w:cs="宋体"/>
          <w:lang w:val="zh-CN"/>
        </w:rPr>
      </w:pPr>
      <w:r>
        <w:rPr>
          <w:rFonts w:hint="eastAsia" w:ascii="宋体" w:hAnsi="宋体" w:cs="宋体"/>
          <w:lang w:val="zh-CN"/>
        </w:rPr>
        <w:t>13.3 投标人认为需要的其他技术文件或说明。</w:t>
      </w:r>
    </w:p>
    <w:p>
      <w:pPr>
        <w:pStyle w:val="32"/>
        <w:rPr>
          <w:rFonts w:ascii="宋体" w:hAnsi="宋体" w:cs="宋体"/>
          <w:b/>
          <w:bCs/>
        </w:rPr>
      </w:pPr>
      <w:r>
        <w:rPr>
          <w:rFonts w:hint="eastAsia" w:ascii="宋体" w:hAnsi="宋体" w:cs="宋体"/>
          <w:b/>
          <w:bCs/>
        </w:rPr>
        <w:t>14.服务承诺及售后服务机构、人员的情况介绍</w:t>
      </w:r>
    </w:p>
    <w:p>
      <w:pPr>
        <w:pStyle w:val="32"/>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32"/>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32"/>
        <w:rPr>
          <w:rFonts w:ascii="宋体" w:hAnsi="宋体" w:cs="宋体"/>
          <w:lang w:val="zh-CN"/>
        </w:rPr>
      </w:pPr>
      <w:r>
        <w:rPr>
          <w:rFonts w:hint="eastAsia" w:ascii="宋体" w:hAnsi="宋体" w:cs="宋体"/>
          <w:lang w:val="zh-CN"/>
        </w:rPr>
        <w:t>14.3 培训计划；</w:t>
      </w:r>
    </w:p>
    <w:p>
      <w:pPr>
        <w:pStyle w:val="32"/>
        <w:rPr>
          <w:rFonts w:ascii="宋体" w:hAnsi="宋体" w:cs="宋体"/>
          <w:lang w:val="zh-CN"/>
        </w:rPr>
      </w:pPr>
      <w:r>
        <w:rPr>
          <w:rFonts w:hint="eastAsia" w:ascii="宋体" w:hAnsi="宋体" w:cs="宋体"/>
          <w:lang w:val="zh-CN"/>
        </w:rPr>
        <w:t>14.4 提供参加本项目类似案例简介；</w:t>
      </w:r>
    </w:p>
    <w:p>
      <w:pPr>
        <w:pStyle w:val="32"/>
        <w:rPr>
          <w:rFonts w:ascii="宋体" w:hAnsi="宋体" w:cs="宋体"/>
          <w:b/>
          <w:bCs/>
        </w:rPr>
      </w:pPr>
      <w:bookmarkStart w:id="97" w:name="_Toc49090510"/>
      <w:bookmarkStart w:id="98" w:name="_Toc14577359"/>
      <w:r>
        <w:rPr>
          <w:rFonts w:hint="eastAsia" w:ascii="宋体" w:hAnsi="宋体" w:cs="宋体"/>
          <w:b/>
          <w:bCs/>
        </w:rPr>
        <w:t>15.投标函和开标一览表</w:t>
      </w:r>
    </w:p>
    <w:p>
      <w:pPr>
        <w:pStyle w:val="32"/>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32"/>
        <w:rPr>
          <w:rFonts w:ascii="宋体" w:hAnsi="宋体" w:cs="宋体"/>
          <w:color w:val="auto"/>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w:t>
      </w:r>
      <w:r>
        <w:rPr>
          <w:rFonts w:hint="eastAsia" w:ascii="宋体" w:hAnsi="宋体" w:cs="宋体"/>
          <w:bCs/>
          <w:color w:val="auto"/>
        </w:rPr>
        <w:t>一致，如不一致，评标时按开标一览表中价格为准</w:t>
      </w:r>
      <w:r>
        <w:rPr>
          <w:rFonts w:hint="eastAsia" w:ascii="宋体" w:hAnsi="宋体" w:cs="宋体"/>
          <w:b/>
          <w:bCs/>
          <w:color w:val="auto"/>
        </w:rPr>
        <w:t>。</w:t>
      </w:r>
    </w:p>
    <w:p>
      <w:pPr>
        <w:pStyle w:val="32"/>
        <w:rPr>
          <w:rFonts w:ascii="宋体" w:hAnsi="宋体" w:cs="宋体"/>
          <w:i/>
          <w:color w:val="auto"/>
          <w:u w:val="single"/>
        </w:rPr>
      </w:pPr>
      <w:r>
        <w:rPr>
          <w:rFonts w:hint="eastAsia" w:ascii="宋体" w:hAnsi="宋体" w:cs="宋体"/>
          <w:bCs/>
          <w:color w:val="auto"/>
        </w:rPr>
        <w:t>15.3</w:t>
      </w:r>
      <w:r>
        <w:rPr>
          <w:rFonts w:hint="eastAsia" w:ascii="宋体" w:hAnsi="宋体" w:cs="宋体"/>
          <w:color w:val="auto"/>
        </w:rPr>
        <w:t xml:space="preserve"> </w:t>
      </w:r>
      <w:r>
        <w:rPr>
          <w:rFonts w:hint="eastAsia" w:ascii="宋体" w:hAnsi="宋体" w:cs="宋体"/>
          <w:i/>
          <w:color w:val="auto"/>
          <w:u w:val="single"/>
        </w:rPr>
        <w:t>开标一览表必须加</w:t>
      </w:r>
      <w:r>
        <w:rPr>
          <w:rFonts w:hint="eastAsia" w:ascii="宋体" w:hAnsi="宋体" w:cs="宋体"/>
          <w:bCs/>
          <w:i/>
          <w:iCs/>
          <w:color w:val="auto"/>
          <w:u w:val="single"/>
        </w:rPr>
        <w:t>盖投标人公章（复印件无效），必须</w:t>
      </w:r>
      <w:r>
        <w:rPr>
          <w:rFonts w:hint="eastAsia" w:ascii="宋体" w:hAnsi="宋体" w:cs="宋体"/>
          <w:i/>
          <w:color w:val="auto"/>
          <w:u w:val="single"/>
        </w:rPr>
        <w:t>单独密封在信封中，在投标截止时间前与投标文件分别递交，否则视为无效投标。</w:t>
      </w:r>
    </w:p>
    <w:p>
      <w:pPr>
        <w:pStyle w:val="32"/>
        <w:rPr>
          <w:rFonts w:ascii="宋体" w:hAnsi="宋体" w:cs="宋体"/>
          <w:b/>
          <w:bCs/>
        </w:rPr>
      </w:pPr>
      <w:r>
        <w:rPr>
          <w:rFonts w:hint="eastAsia" w:ascii="宋体" w:hAnsi="宋体" w:cs="宋体"/>
          <w:b/>
          <w:bCs/>
        </w:rPr>
        <w:t>16.投标保证金</w:t>
      </w:r>
      <w:bookmarkEnd w:id="97"/>
      <w:bookmarkEnd w:id="98"/>
    </w:p>
    <w:p>
      <w:pPr>
        <w:pStyle w:val="32"/>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32"/>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32"/>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32"/>
        <w:rPr>
          <w:rFonts w:ascii="宋体" w:hAnsi="宋体" w:cs="宋体"/>
          <w:bCs/>
        </w:rPr>
      </w:pPr>
      <w:r>
        <w:rPr>
          <w:rFonts w:hint="eastAsia" w:ascii="宋体" w:hAnsi="宋体" w:cs="宋体"/>
          <w:bCs/>
        </w:rPr>
        <w:t>（1）投标人在投标有效期内撤回其投标；</w:t>
      </w:r>
    </w:p>
    <w:p>
      <w:pPr>
        <w:pStyle w:val="32"/>
        <w:rPr>
          <w:rFonts w:ascii="宋体" w:hAnsi="宋体" w:cs="宋体"/>
          <w:bCs/>
        </w:rPr>
      </w:pPr>
      <w:r>
        <w:rPr>
          <w:rFonts w:hint="eastAsia" w:ascii="宋体" w:hAnsi="宋体" w:cs="宋体"/>
          <w:bCs/>
        </w:rPr>
        <w:t>（2）投标人提供的有关资料、资格证明文件被确认是不真实的；</w:t>
      </w:r>
    </w:p>
    <w:p>
      <w:pPr>
        <w:pStyle w:val="32"/>
        <w:rPr>
          <w:rFonts w:ascii="宋体" w:hAnsi="宋体" w:cs="宋体"/>
        </w:rPr>
      </w:pPr>
      <w:r>
        <w:rPr>
          <w:rFonts w:hint="eastAsia" w:ascii="宋体" w:hAnsi="宋体" w:cs="宋体"/>
        </w:rPr>
        <w:t>（3）投标人之间被证实有串通（统一哄抬价格）、欺诈行为；</w:t>
      </w:r>
    </w:p>
    <w:p>
      <w:pPr>
        <w:pStyle w:val="32"/>
        <w:rPr>
          <w:rFonts w:ascii="宋体" w:hAnsi="宋体" w:cs="宋体"/>
        </w:rPr>
      </w:pPr>
      <w:r>
        <w:rPr>
          <w:rFonts w:hint="eastAsia" w:ascii="宋体" w:hAnsi="宋体" w:cs="宋体"/>
        </w:rPr>
        <w:t>（4）投标人被证明有妨碍其他人公平竞争、损害采购人或者其他投标人合法权益的；</w:t>
      </w:r>
    </w:p>
    <w:p>
      <w:pPr>
        <w:pStyle w:val="32"/>
        <w:rPr>
          <w:rFonts w:ascii="宋体" w:hAnsi="宋体" w:cs="宋体"/>
          <w:b/>
          <w:bCs/>
        </w:rPr>
      </w:pPr>
      <w:bookmarkStart w:id="99" w:name="_Hlt26954739"/>
      <w:bookmarkEnd w:id="99"/>
      <w:bookmarkStart w:id="100" w:name="_Hlt26670489"/>
      <w:bookmarkEnd w:id="100"/>
      <w:bookmarkStart w:id="101" w:name="_Hlt26954850"/>
      <w:bookmarkEnd w:id="101"/>
      <w:bookmarkStart w:id="102" w:name="_Hlt26954734"/>
      <w:bookmarkEnd w:id="102"/>
      <w:bookmarkStart w:id="103" w:name="_Hlt26954852"/>
      <w:bookmarkEnd w:id="103"/>
      <w:bookmarkStart w:id="104" w:name="_Toc14577361"/>
      <w:bookmarkStart w:id="105" w:name="_Toc49090512"/>
      <w:r>
        <w:rPr>
          <w:rFonts w:hint="eastAsia" w:ascii="宋体" w:hAnsi="宋体" w:cs="宋体"/>
          <w:b/>
          <w:bCs/>
        </w:rPr>
        <w:t>17.投标文件份数和签署</w:t>
      </w:r>
      <w:bookmarkEnd w:id="104"/>
      <w:bookmarkEnd w:id="105"/>
    </w:p>
    <w:p>
      <w:pPr>
        <w:pStyle w:val="32"/>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32"/>
        <w:rPr>
          <w:rFonts w:ascii="宋体" w:hAnsi="宋体" w:cs="宋体"/>
        </w:rPr>
      </w:pPr>
      <w:r>
        <w:rPr>
          <w:rFonts w:hint="eastAsia" w:ascii="宋体" w:hAnsi="宋体" w:cs="宋体"/>
        </w:rPr>
        <w:t>17.2投标文件的正本须经法定代表人或授权代表签署和加盖投标人公章。</w:t>
      </w:r>
    </w:p>
    <w:p>
      <w:pPr>
        <w:pStyle w:val="32"/>
        <w:rPr>
          <w:rFonts w:ascii="宋体" w:hAnsi="宋体" w:cs="宋体"/>
          <w:b/>
        </w:rPr>
      </w:pPr>
      <w:bookmarkStart w:id="106" w:name="_Toc517190885"/>
      <w:bookmarkStart w:id="107" w:name="_Toc120614217"/>
      <w:bookmarkStart w:id="108" w:name="_Toc20823296"/>
      <w:bookmarkStart w:id="109" w:name="_Toc513029224"/>
      <w:bookmarkStart w:id="110" w:name="_Toc16938540"/>
      <w:r>
        <w:rPr>
          <w:rFonts w:hint="eastAsia" w:ascii="宋体" w:hAnsi="宋体" w:cs="宋体"/>
          <w:b/>
        </w:rPr>
        <w:t>四、投标文件的递交</w:t>
      </w:r>
      <w:bookmarkEnd w:id="106"/>
      <w:bookmarkEnd w:id="107"/>
      <w:bookmarkEnd w:id="108"/>
      <w:bookmarkEnd w:id="109"/>
      <w:bookmarkEnd w:id="110"/>
    </w:p>
    <w:p>
      <w:pPr>
        <w:pStyle w:val="32"/>
        <w:rPr>
          <w:rFonts w:ascii="宋体" w:hAnsi="宋体" w:cs="宋体"/>
          <w:b/>
          <w:bCs/>
        </w:rPr>
      </w:pPr>
      <w:bookmarkStart w:id="111" w:name="_Toc16938541"/>
      <w:bookmarkStart w:id="112" w:name="_Toc513029225"/>
      <w:bookmarkStart w:id="113" w:name="_Toc462564084"/>
      <w:bookmarkStart w:id="114" w:name="_Toc20823297"/>
      <w:r>
        <w:rPr>
          <w:rFonts w:hint="eastAsia" w:ascii="宋体" w:hAnsi="宋体" w:cs="宋体"/>
          <w:b/>
          <w:bCs/>
        </w:rPr>
        <w:t>18.投标文件的密封和标记</w:t>
      </w:r>
      <w:bookmarkEnd w:id="111"/>
      <w:bookmarkEnd w:id="112"/>
      <w:bookmarkEnd w:id="113"/>
      <w:bookmarkEnd w:id="114"/>
    </w:p>
    <w:p>
      <w:pPr>
        <w:pStyle w:val="32"/>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32"/>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32"/>
        <w:rPr>
          <w:rFonts w:ascii="宋体" w:hAnsi="宋体" w:cs="宋体"/>
          <w:bCs/>
        </w:rPr>
      </w:pPr>
      <w:r>
        <w:rPr>
          <w:rFonts w:hint="eastAsia" w:ascii="宋体" w:hAnsi="宋体" w:cs="宋体"/>
          <w:bCs/>
        </w:rPr>
        <w:t>（1）注明投标人名称，如因标注不清而产生的后果由投标人自负。</w:t>
      </w:r>
    </w:p>
    <w:p>
      <w:pPr>
        <w:pStyle w:val="32"/>
        <w:rPr>
          <w:rFonts w:ascii="宋体" w:hAnsi="宋体" w:cs="宋体"/>
          <w:bCs/>
        </w:rPr>
      </w:pPr>
      <w:r>
        <w:rPr>
          <w:rFonts w:hint="eastAsia" w:ascii="宋体" w:hAnsi="宋体" w:cs="宋体"/>
          <w:bCs/>
        </w:rPr>
        <w:t>（2）注明投标项目名称、标书编号及包号。</w:t>
      </w:r>
    </w:p>
    <w:p>
      <w:pPr>
        <w:pStyle w:val="32"/>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32"/>
        <w:rPr>
          <w:rFonts w:ascii="宋体" w:hAnsi="宋体" w:cs="宋体"/>
          <w:b/>
          <w:bCs/>
        </w:rPr>
      </w:pPr>
      <w:bookmarkStart w:id="115" w:name="_Toc20823298"/>
      <w:bookmarkStart w:id="116" w:name="_Toc513029226"/>
      <w:bookmarkStart w:id="117" w:name="_Toc16938542"/>
      <w:r>
        <w:rPr>
          <w:rFonts w:hint="eastAsia" w:ascii="宋体" w:hAnsi="宋体" w:cs="宋体"/>
          <w:b/>
          <w:bCs/>
        </w:rPr>
        <w:t>19.投标截止</w:t>
      </w:r>
      <w:bookmarkEnd w:id="115"/>
      <w:bookmarkEnd w:id="116"/>
      <w:bookmarkEnd w:id="117"/>
      <w:r>
        <w:rPr>
          <w:rFonts w:hint="eastAsia" w:ascii="宋体" w:hAnsi="宋体" w:cs="宋体"/>
          <w:b/>
          <w:bCs/>
        </w:rPr>
        <w:t>时间</w:t>
      </w:r>
    </w:p>
    <w:p>
      <w:pPr>
        <w:pStyle w:val="32"/>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32"/>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32"/>
        <w:rPr>
          <w:rFonts w:ascii="宋体" w:hAnsi="宋体" w:cs="宋体"/>
          <w:b/>
          <w:bCs/>
        </w:rPr>
      </w:pPr>
      <w:bookmarkStart w:id="118" w:name="_Toc513029227"/>
      <w:bookmarkStart w:id="119" w:name="_Toc16938543"/>
      <w:bookmarkStart w:id="120" w:name="_Toc20823299"/>
      <w:r>
        <w:rPr>
          <w:rFonts w:hint="eastAsia" w:ascii="宋体" w:hAnsi="宋体" w:cs="宋体"/>
          <w:b/>
          <w:bCs/>
        </w:rPr>
        <w:t>20.投标文件</w:t>
      </w:r>
      <w:bookmarkEnd w:id="118"/>
      <w:bookmarkEnd w:id="119"/>
      <w:bookmarkEnd w:id="120"/>
      <w:r>
        <w:rPr>
          <w:rFonts w:hint="eastAsia" w:ascii="宋体" w:hAnsi="宋体" w:cs="宋体"/>
          <w:b/>
          <w:bCs/>
        </w:rPr>
        <w:t>的递交</w:t>
      </w:r>
    </w:p>
    <w:p>
      <w:pPr>
        <w:pStyle w:val="32"/>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32"/>
        <w:rPr>
          <w:rFonts w:ascii="宋体" w:hAnsi="宋体" w:cs="宋体"/>
          <w:bCs/>
        </w:rPr>
      </w:pPr>
      <w:r>
        <w:rPr>
          <w:rFonts w:hint="eastAsia" w:ascii="宋体" w:hAnsi="宋体" w:cs="宋体"/>
          <w:bCs/>
        </w:rPr>
        <w:t>20.2未按照招标文件要求的格式编制的投标文件，后果由投标人承担。</w:t>
      </w:r>
    </w:p>
    <w:p>
      <w:pPr>
        <w:pStyle w:val="32"/>
        <w:rPr>
          <w:rFonts w:ascii="宋体" w:hAnsi="宋体" w:cs="宋体"/>
          <w:b/>
          <w:bCs/>
        </w:rPr>
      </w:pPr>
      <w:bookmarkStart w:id="121" w:name="_Toc16938544"/>
      <w:bookmarkStart w:id="122" w:name="_Toc20823300"/>
      <w:bookmarkStart w:id="123" w:name="_Toc513029228"/>
      <w:r>
        <w:rPr>
          <w:rFonts w:hint="eastAsia" w:ascii="宋体" w:hAnsi="宋体" w:cs="宋体"/>
          <w:b/>
          <w:bCs/>
        </w:rPr>
        <w:t>21.投标文件的修改和撤回</w:t>
      </w:r>
      <w:bookmarkEnd w:id="121"/>
      <w:bookmarkEnd w:id="122"/>
      <w:bookmarkEnd w:id="123"/>
    </w:p>
    <w:p>
      <w:pPr>
        <w:pStyle w:val="32"/>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32"/>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32"/>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32"/>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32"/>
        <w:rPr>
          <w:rFonts w:ascii="宋体" w:hAnsi="宋体" w:cs="宋体"/>
          <w:b/>
        </w:rPr>
      </w:pPr>
      <w:bookmarkStart w:id="124" w:name="_Toc20823301"/>
      <w:bookmarkStart w:id="125" w:name="_Toc16938545"/>
      <w:bookmarkStart w:id="126" w:name="_Toc120614218"/>
      <w:bookmarkStart w:id="127" w:name="_Toc513029229"/>
      <w:bookmarkStart w:id="128" w:name="_Toc517190886"/>
      <w:r>
        <w:rPr>
          <w:rFonts w:hint="eastAsia" w:ascii="宋体" w:hAnsi="宋体" w:cs="宋体"/>
          <w:b/>
        </w:rPr>
        <w:t>五、开标与评标</w:t>
      </w:r>
      <w:bookmarkEnd w:id="124"/>
      <w:bookmarkEnd w:id="125"/>
      <w:bookmarkEnd w:id="126"/>
      <w:bookmarkEnd w:id="127"/>
      <w:bookmarkEnd w:id="128"/>
    </w:p>
    <w:p>
      <w:pPr>
        <w:pStyle w:val="32"/>
        <w:rPr>
          <w:rFonts w:ascii="宋体" w:hAnsi="宋体" w:cs="宋体"/>
          <w:b/>
          <w:bCs/>
        </w:rPr>
      </w:pPr>
      <w:bookmarkStart w:id="129" w:name="_Toc16938546"/>
      <w:bookmarkStart w:id="130" w:name="_Toc513029230"/>
      <w:bookmarkStart w:id="131" w:name="_Toc20823302"/>
      <w:r>
        <w:rPr>
          <w:rFonts w:hint="eastAsia" w:ascii="宋体" w:hAnsi="宋体" w:cs="宋体"/>
          <w:b/>
          <w:bCs/>
        </w:rPr>
        <w:t>22.开标</w:t>
      </w:r>
      <w:bookmarkEnd w:id="129"/>
      <w:bookmarkEnd w:id="130"/>
      <w:bookmarkEnd w:id="131"/>
    </w:p>
    <w:p>
      <w:pPr>
        <w:pStyle w:val="32"/>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32"/>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32"/>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32"/>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32"/>
        <w:rPr>
          <w:rFonts w:ascii="宋体" w:hAnsi="宋体" w:cs="宋体"/>
        </w:rPr>
      </w:pPr>
      <w:r>
        <w:rPr>
          <w:rFonts w:hint="eastAsia" w:ascii="宋体" w:hAnsi="宋体" w:cs="宋体"/>
        </w:rPr>
        <w:t>22.5 投标人在报价时不允许采用选择性报价，否则将被视为无效投标。</w:t>
      </w:r>
    </w:p>
    <w:p>
      <w:pPr>
        <w:pStyle w:val="32"/>
        <w:rPr>
          <w:rFonts w:ascii="宋体" w:hAnsi="宋体" w:cs="宋体"/>
          <w:bCs/>
        </w:rPr>
      </w:pPr>
      <w:r>
        <w:rPr>
          <w:rFonts w:hint="eastAsia" w:ascii="宋体" w:hAnsi="宋体" w:cs="宋体"/>
          <w:bCs/>
        </w:rPr>
        <w:t>22.6 投标截止时间结束后参加投标的供应商不足三家的，不得开标。</w:t>
      </w:r>
    </w:p>
    <w:p>
      <w:pPr>
        <w:pStyle w:val="32"/>
        <w:rPr>
          <w:rFonts w:ascii="宋体" w:hAnsi="宋体" w:cs="宋体"/>
          <w:b/>
          <w:bCs/>
        </w:rPr>
      </w:pPr>
      <w:bookmarkStart w:id="132" w:name="_Toc16938547"/>
      <w:bookmarkStart w:id="133" w:name="_Toc513029231"/>
      <w:bookmarkStart w:id="134" w:name="_Toc20823303"/>
      <w:r>
        <w:rPr>
          <w:rFonts w:hint="eastAsia" w:ascii="宋体" w:hAnsi="宋体" w:cs="宋体"/>
          <w:b/>
          <w:bCs/>
        </w:rPr>
        <w:t>23.评标</w:t>
      </w:r>
    </w:p>
    <w:p>
      <w:pPr>
        <w:pStyle w:val="32"/>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32"/>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32"/>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2"/>
    <w:bookmarkEnd w:id="133"/>
    <w:bookmarkEnd w:id="134"/>
    <w:p>
      <w:pPr>
        <w:pStyle w:val="32"/>
        <w:rPr>
          <w:rFonts w:ascii="宋体" w:hAnsi="宋体" w:cs="宋体"/>
          <w:b/>
          <w:bCs/>
        </w:rPr>
      </w:pPr>
      <w:bookmarkStart w:id="135" w:name="_Toc16938548"/>
      <w:bookmarkStart w:id="136" w:name="_Toc20823304"/>
      <w:bookmarkStart w:id="137" w:name="_Toc513029232"/>
      <w:r>
        <w:rPr>
          <w:rFonts w:hint="eastAsia" w:ascii="宋体" w:hAnsi="宋体" w:cs="宋体"/>
          <w:b/>
          <w:bCs/>
        </w:rPr>
        <w:t>24.投标的澄清</w:t>
      </w:r>
      <w:bookmarkEnd w:id="135"/>
      <w:bookmarkEnd w:id="136"/>
      <w:bookmarkEnd w:id="137"/>
    </w:p>
    <w:p>
      <w:pPr>
        <w:pStyle w:val="32"/>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32"/>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32"/>
        <w:rPr>
          <w:rFonts w:ascii="宋体" w:hAnsi="宋体" w:cs="宋体"/>
        </w:rPr>
      </w:pPr>
      <w:r>
        <w:rPr>
          <w:rFonts w:hint="eastAsia" w:ascii="宋体" w:hAnsi="宋体" w:cs="宋体"/>
        </w:rPr>
        <w:t>24.3 接到评委会澄清要求的投标人如未按规定做出澄清，后果由投标人自行承担。</w:t>
      </w:r>
    </w:p>
    <w:p>
      <w:pPr>
        <w:pStyle w:val="32"/>
        <w:rPr>
          <w:rFonts w:ascii="宋体" w:hAnsi="宋体" w:cs="宋体"/>
          <w:b/>
          <w:bCs/>
        </w:rPr>
      </w:pPr>
      <w:bookmarkStart w:id="138" w:name="_Toc20823306"/>
      <w:bookmarkStart w:id="139" w:name="_Toc513029234"/>
      <w:bookmarkStart w:id="140" w:name="_Toc16938550"/>
      <w:r>
        <w:rPr>
          <w:rFonts w:hint="eastAsia" w:ascii="宋体" w:hAnsi="宋体" w:cs="宋体"/>
          <w:b/>
          <w:bCs/>
        </w:rPr>
        <w:t>25</w:t>
      </w:r>
      <w:bookmarkEnd w:id="138"/>
      <w:bookmarkEnd w:id="139"/>
      <w:bookmarkEnd w:id="140"/>
      <w:r>
        <w:rPr>
          <w:rFonts w:hint="eastAsia" w:ascii="宋体" w:hAnsi="宋体" w:cs="宋体"/>
          <w:b/>
          <w:bCs/>
        </w:rPr>
        <w:t>.无效投标条款和废标条款</w:t>
      </w:r>
    </w:p>
    <w:p>
      <w:pPr>
        <w:pStyle w:val="32"/>
        <w:rPr>
          <w:rFonts w:ascii="宋体" w:hAnsi="宋体" w:cs="宋体"/>
          <w:bCs/>
        </w:rPr>
      </w:pPr>
      <w:bookmarkStart w:id="141" w:name="_Toc20823307"/>
      <w:bookmarkStart w:id="142" w:name="_Toc16938551"/>
      <w:bookmarkStart w:id="143" w:name="_Toc513029235"/>
      <w:r>
        <w:rPr>
          <w:rFonts w:hint="eastAsia" w:ascii="宋体" w:hAnsi="宋体" w:cs="宋体"/>
          <w:bCs/>
        </w:rPr>
        <w:t>25.1无效投标条款</w:t>
      </w:r>
    </w:p>
    <w:p>
      <w:pPr>
        <w:pStyle w:val="32"/>
        <w:rPr>
          <w:rFonts w:ascii="宋体" w:hAnsi="宋体" w:cs="宋体"/>
          <w:bCs/>
        </w:rPr>
      </w:pPr>
      <w:r>
        <w:rPr>
          <w:rFonts w:hint="eastAsia" w:ascii="宋体" w:hAnsi="宋体" w:cs="宋体"/>
          <w:bCs/>
        </w:rPr>
        <w:t>（1）未按要求交纳投标保证金的。</w:t>
      </w:r>
    </w:p>
    <w:p>
      <w:pPr>
        <w:pStyle w:val="32"/>
        <w:rPr>
          <w:rFonts w:ascii="宋体" w:hAnsi="宋体" w:cs="宋体"/>
          <w:bCs/>
        </w:rPr>
      </w:pPr>
      <w:r>
        <w:rPr>
          <w:rFonts w:hint="eastAsia" w:ascii="宋体" w:hAnsi="宋体" w:cs="宋体"/>
          <w:bCs/>
        </w:rPr>
        <w:t>（2）未按照招标文件规定要求密封、签署、盖章的。</w:t>
      </w:r>
    </w:p>
    <w:p>
      <w:pPr>
        <w:pStyle w:val="32"/>
        <w:rPr>
          <w:rFonts w:ascii="宋体" w:hAnsi="宋体" w:cs="宋体"/>
          <w:bCs/>
        </w:rPr>
      </w:pPr>
      <w:r>
        <w:rPr>
          <w:rFonts w:hint="eastAsia" w:ascii="宋体" w:hAnsi="宋体" w:cs="宋体"/>
          <w:bCs/>
        </w:rPr>
        <w:t>（3）投标人在报价时采用选择性报价的。</w:t>
      </w:r>
    </w:p>
    <w:p>
      <w:pPr>
        <w:pStyle w:val="32"/>
        <w:rPr>
          <w:rFonts w:ascii="宋体" w:hAnsi="宋体" w:cs="宋体"/>
          <w:bCs/>
        </w:rPr>
      </w:pPr>
      <w:r>
        <w:rPr>
          <w:rFonts w:hint="eastAsia" w:ascii="宋体" w:hAnsi="宋体" w:cs="宋体"/>
          <w:bCs/>
        </w:rPr>
        <w:t>（4）投标人不具备招标文件中规定资格要求的。</w:t>
      </w:r>
    </w:p>
    <w:p>
      <w:pPr>
        <w:pStyle w:val="32"/>
        <w:rPr>
          <w:rFonts w:ascii="宋体" w:hAnsi="宋体" w:cs="宋体"/>
          <w:bCs/>
        </w:rPr>
      </w:pPr>
      <w:r>
        <w:rPr>
          <w:rFonts w:hint="eastAsia" w:ascii="宋体" w:hAnsi="宋体" w:cs="宋体"/>
          <w:bCs/>
        </w:rPr>
        <w:t>（5）投标人的报价超过了采购预算或最高限价的。</w:t>
      </w:r>
    </w:p>
    <w:p>
      <w:pPr>
        <w:pStyle w:val="32"/>
        <w:rPr>
          <w:rFonts w:ascii="宋体" w:hAnsi="宋体" w:cs="宋体"/>
          <w:bCs/>
          <w:i/>
          <w:u w:val="single"/>
        </w:rPr>
      </w:pPr>
      <w:r>
        <w:rPr>
          <w:rFonts w:hint="eastAsia" w:ascii="宋体" w:hAnsi="宋体" w:cs="宋体"/>
          <w:bCs/>
        </w:rPr>
        <w:t>（6）未通过符合性检查的。</w:t>
      </w:r>
    </w:p>
    <w:p>
      <w:pPr>
        <w:pStyle w:val="32"/>
        <w:rPr>
          <w:rFonts w:ascii="宋体" w:hAnsi="宋体" w:cs="宋体"/>
          <w:bCs/>
          <w:i/>
          <w:u w:val="single"/>
        </w:rPr>
      </w:pPr>
      <w:r>
        <w:rPr>
          <w:rFonts w:hint="eastAsia" w:ascii="宋体" w:hAnsi="宋体" w:cs="宋体"/>
          <w:bCs/>
        </w:rPr>
        <w:t>（7）不符合招标文件中规定的其他实质性要求和条件的。</w:t>
      </w:r>
    </w:p>
    <w:p>
      <w:pPr>
        <w:pStyle w:val="32"/>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32"/>
        <w:rPr>
          <w:rFonts w:ascii="宋体" w:hAnsi="宋体" w:cs="宋体"/>
          <w:bCs/>
        </w:rPr>
      </w:pPr>
      <w:r>
        <w:rPr>
          <w:rFonts w:hint="eastAsia" w:ascii="宋体" w:hAnsi="宋体" w:cs="宋体"/>
          <w:bCs/>
        </w:rPr>
        <w:t>（9）  投标文件含有采购人不能接受的附加条件的。</w:t>
      </w:r>
    </w:p>
    <w:p>
      <w:pPr>
        <w:pStyle w:val="32"/>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2"/>
        <w:rPr>
          <w:rFonts w:ascii="宋体" w:hAnsi="宋体" w:cs="宋体"/>
          <w:bCs/>
        </w:rPr>
      </w:pPr>
      <w:r>
        <w:rPr>
          <w:rFonts w:hint="eastAsia" w:ascii="宋体" w:hAnsi="宋体" w:cs="宋体"/>
          <w:bCs/>
        </w:rPr>
        <w:t>（11）其他法律、法规及本招标文件规定的属无效投标的情形。</w:t>
      </w:r>
    </w:p>
    <w:p>
      <w:pPr>
        <w:pStyle w:val="32"/>
        <w:rPr>
          <w:rFonts w:ascii="宋体" w:hAnsi="宋体" w:cs="宋体"/>
          <w:bCs/>
        </w:rPr>
      </w:pPr>
      <w:r>
        <w:rPr>
          <w:rFonts w:hint="eastAsia" w:ascii="宋体" w:hAnsi="宋体" w:cs="宋体"/>
          <w:bCs/>
        </w:rPr>
        <w:t>25.2废标条款：</w:t>
      </w:r>
    </w:p>
    <w:p>
      <w:pPr>
        <w:pStyle w:val="32"/>
        <w:rPr>
          <w:rFonts w:ascii="宋体" w:hAnsi="宋体" w:cs="宋体"/>
          <w:bCs/>
        </w:rPr>
      </w:pPr>
      <w:r>
        <w:rPr>
          <w:rFonts w:hint="eastAsia" w:ascii="宋体" w:hAnsi="宋体" w:cs="宋体"/>
          <w:bCs/>
        </w:rPr>
        <w:t>（1）符合专业条件的供应商或者对招标文件作实质响应的供应商不足三家的。</w:t>
      </w:r>
    </w:p>
    <w:p>
      <w:pPr>
        <w:pStyle w:val="32"/>
        <w:rPr>
          <w:rFonts w:ascii="宋体" w:hAnsi="宋体" w:cs="宋体"/>
          <w:bCs/>
        </w:rPr>
      </w:pPr>
      <w:r>
        <w:rPr>
          <w:rFonts w:hint="eastAsia" w:ascii="宋体" w:hAnsi="宋体" w:cs="宋体"/>
          <w:bCs/>
        </w:rPr>
        <w:t>（2）出现影响采购公正的违法、违规行为的。</w:t>
      </w:r>
    </w:p>
    <w:p>
      <w:pPr>
        <w:pStyle w:val="32"/>
        <w:rPr>
          <w:rFonts w:ascii="宋体" w:hAnsi="宋体" w:cs="宋体"/>
          <w:bCs/>
        </w:rPr>
      </w:pPr>
      <w:r>
        <w:rPr>
          <w:rFonts w:hint="eastAsia" w:ascii="宋体" w:hAnsi="宋体" w:cs="宋体"/>
          <w:bCs/>
        </w:rPr>
        <w:t>（3）因重大变故，采购任务取消的。</w:t>
      </w:r>
    </w:p>
    <w:p>
      <w:pPr>
        <w:pStyle w:val="32"/>
        <w:rPr>
          <w:rFonts w:ascii="宋体" w:hAnsi="宋体" w:cs="宋体"/>
          <w:bCs/>
        </w:rPr>
      </w:pPr>
      <w:r>
        <w:rPr>
          <w:rFonts w:hint="eastAsia" w:ascii="宋体" w:hAnsi="宋体" w:cs="宋体"/>
          <w:bCs/>
        </w:rPr>
        <w:t>（4）评标委员会认定招标文件存在歧义、重大缺陷导致评审工作无法进行的。</w:t>
      </w:r>
    </w:p>
    <w:p>
      <w:pPr>
        <w:pStyle w:val="32"/>
        <w:rPr>
          <w:rFonts w:ascii="宋体" w:hAnsi="宋体" w:cs="宋体"/>
          <w:b/>
        </w:rPr>
      </w:pPr>
      <w:bookmarkStart w:id="144" w:name="_Toc120614219"/>
      <w:bookmarkStart w:id="145" w:name="_Toc517190887"/>
      <w:r>
        <w:rPr>
          <w:rFonts w:hint="eastAsia" w:ascii="宋体" w:hAnsi="宋体" w:cs="宋体"/>
          <w:b/>
        </w:rPr>
        <w:t>六、</w:t>
      </w:r>
      <w:bookmarkEnd w:id="141"/>
      <w:bookmarkEnd w:id="142"/>
      <w:bookmarkEnd w:id="143"/>
      <w:r>
        <w:rPr>
          <w:rFonts w:hint="eastAsia" w:ascii="宋体" w:hAnsi="宋体" w:cs="宋体"/>
          <w:b/>
        </w:rPr>
        <w:t>定标</w:t>
      </w:r>
      <w:bookmarkEnd w:id="144"/>
      <w:bookmarkEnd w:id="145"/>
    </w:p>
    <w:p>
      <w:pPr>
        <w:pStyle w:val="32"/>
        <w:rPr>
          <w:rFonts w:ascii="宋体" w:hAnsi="宋体" w:cs="宋体"/>
          <w:b/>
        </w:rPr>
      </w:pPr>
      <w:bookmarkStart w:id="146" w:name="_Toc513029238"/>
      <w:bookmarkStart w:id="147" w:name="_Toc20823310"/>
      <w:bookmarkStart w:id="148" w:name="_Toc16938554"/>
      <w:r>
        <w:rPr>
          <w:rFonts w:hint="eastAsia" w:ascii="宋体" w:hAnsi="宋体" w:cs="宋体"/>
          <w:b/>
        </w:rPr>
        <w:t>26</w:t>
      </w:r>
      <w:bookmarkEnd w:id="146"/>
      <w:r>
        <w:rPr>
          <w:rFonts w:hint="eastAsia" w:ascii="宋体" w:hAnsi="宋体" w:cs="宋体"/>
          <w:b/>
        </w:rPr>
        <w:t>.确定</w:t>
      </w:r>
      <w:bookmarkEnd w:id="147"/>
      <w:bookmarkEnd w:id="148"/>
      <w:r>
        <w:rPr>
          <w:rFonts w:hint="eastAsia" w:ascii="宋体" w:hAnsi="宋体" w:cs="宋体"/>
          <w:b/>
        </w:rPr>
        <w:t>中标单位</w:t>
      </w:r>
    </w:p>
    <w:p>
      <w:pPr>
        <w:pStyle w:val="32"/>
        <w:rPr>
          <w:rFonts w:ascii="宋体" w:hAnsi="宋体" w:cs="宋体"/>
          <w:bCs/>
        </w:rPr>
      </w:pPr>
      <w:r>
        <w:rPr>
          <w:rFonts w:hint="eastAsia" w:ascii="宋体" w:hAnsi="宋体" w:cs="宋体"/>
          <w:bCs/>
        </w:rPr>
        <w:t>26.1评委会根据本招标文件规定评分办法与评分标准确定中标人；</w:t>
      </w:r>
    </w:p>
    <w:p>
      <w:pPr>
        <w:pStyle w:val="32"/>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32"/>
        <w:rPr>
          <w:rFonts w:ascii="宋体" w:hAnsi="宋体" w:cs="宋体"/>
        </w:rPr>
      </w:pPr>
      <w:r>
        <w:rPr>
          <w:rFonts w:hint="eastAsia" w:ascii="宋体" w:hAnsi="宋体" w:cs="宋体"/>
        </w:rPr>
        <w:t>2</w:t>
      </w:r>
      <w:bookmarkStart w:id="149" w:name="OLE_LINK8"/>
      <w:bookmarkStart w:id="150" w:name="OLE_LINK6"/>
      <w:bookmarkStart w:id="151" w:name="OLE_LINK3"/>
      <w:bookmarkStart w:id="152" w:name="OLE_LINK5"/>
      <w:bookmarkStart w:id="153" w:name="OLE_LINK4"/>
      <w:bookmarkStart w:id="154" w:name="OLE_LINK7"/>
      <w:r>
        <w:rPr>
          <w:rFonts w:hint="eastAsia" w:ascii="宋体" w:hAnsi="宋体" w:cs="宋体"/>
        </w:rPr>
        <w:t>6.3</w:t>
      </w:r>
      <w:bookmarkEnd w:id="149"/>
      <w:bookmarkEnd w:id="150"/>
      <w:bookmarkEnd w:id="151"/>
      <w:bookmarkEnd w:id="152"/>
      <w:bookmarkEnd w:id="153"/>
      <w:bookmarkEnd w:id="154"/>
      <w:r>
        <w:rPr>
          <w:rFonts w:hint="eastAsia" w:ascii="宋体" w:hAnsi="宋体" w:cs="宋体"/>
        </w:rPr>
        <w:t xml:space="preserve"> 若有充分证据证明，中标人出现下列情况之一的，一经查实，将被取消中标资格：</w:t>
      </w:r>
    </w:p>
    <w:p>
      <w:pPr>
        <w:pStyle w:val="32"/>
        <w:rPr>
          <w:rFonts w:ascii="宋体" w:hAnsi="宋体" w:cs="宋体"/>
        </w:rPr>
      </w:pPr>
      <w:r>
        <w:rPr>
          <w:rFonts w:hint="eastAsia" w:ascii="宋体" w:hAnsi="宋体" w:cs="宋体"/>
        </w:rPr>
        <w:t>（1）提供虚假材料谋取中标的；</w:t>
      </w:r>
    </w:p>
    <w:p>
      <w:pPr>
        <w:pStyle w:val="32"/>
        <w:rPr>
          <w:rFonts w:ascii="宋体" w:hAnsi="宋体" w:cs="宋体"/>
        </w:rPr>
      </w:pPr>
      <w:r>
        <w:rPr>
          <w:rFonts w:hint="eastAsia" w:ascii="宋体" w:hAnsi="宋体" w:cs="宋体"/>
        </w:rPr>
        <w:t>（2）向采购人、评审专家行贿或者提供其他不正当利益的；</w:t>
      </w:r>
    </w:p>
    <w:p>
      <w:pPr>
        <w:pStyle w:val="32"/>
        <w:rPr>
          <w:rFonts w:ascii="宋体" w:hAnsi="宋体" w:cs="宋体"/>
        </w:rPr>
      </w:pPr>
      <w:r>
        <w:rPr>
          <w:rFonts w:hint="eastAsia" w:ascii="宋体" w:hAnsi="宋体" w:cs="宋体"/>
        </w:rPr>
        <w:t>（3）恶意竞争，投标总报价明显低于其自身合理成本且又无法提供证明的；</w:t>
      </w:r>
    </w:p>
    <w:p>
      <w:pPr>
        <w:pStyle w:val="32"/>
        <w:rPr>
          <w:rFonts w:ascii="宋体" w:hAnsi="宋体" w:cs="宋体"/>
        </w:rPr>
      </w:pPr>
      <w:r>
        <w:rPr>
          <w:rFonts w:hint="eastAsia" w:ascii="宋体" w:hAnsi="宋体" w:cs="宋体"/>
        </w:rPr>
        <w:t>（4）属于本文件规定的无效条件，但在评标过程中又未被评委会发现的；</w:t>
      </w:r>
    </w:p>
    <w:p>
      <w:pPr>
        <w:pStyle w:val="32"/>
        <w:rPr>
          <w:rFonts w:ascii="宋体" w:hAnsi="宋体" w:cs="宋体"/>
        </w:rPr>
      </w:pPr>
      <w:r>
        <w:rPr>
          <w:rFonts w:hint="eastAsia" w:ascii="宋体" w:hAnsi="宋体" w:cs="宋体"/>
        </w:rPr>
        <w:t>（5）与采购人或者其他供应商恶意串通的；</w:t>
      </w:r>
    </w:p>
    <w:p>
      <w:pPr>
        <w:pStyle w:val="32"/>
        <w:rPr>
          <w:rFonts w:ascii="宋体" w:hAnsi="宋体" w:cs="宋体"/>
        </w:rPr>
      </w:pPr>
      <w:r>
        <w:rPr>
          <w:rFonts w:hint="eastAsia" w:ascii="宋体" w:hAnsi="宋体" w:cs="宋体"/>
        </w:rPr>
        <w:t>（6）采取不正当手段诋毁、排挤其他供应商的；</w:t>
      </w:r>
    </w:p>
    <w:p>
      <w:pPr>
        <w:pStyle w:val="32"/>
        <w:rPr>
          <w:rFonts w:ascii="宋体" w:hAnsi="宋体" w:cs="宋体"/>
        </w:rPr>
      </w:pPr>
      <w:r>
        <w:rPr>
          <w:rFonts w:hint="eastAsia" w:ascii="宋体" w:hAnsi="宋体" w:cs="宋体"/>
        </w:rPr>
        <w:t>（7）不符合法律、法规的规定的。</w:t>
      </w:r>
      <w:bookmarkStart w:id="155" w:name="_Toc200451960"/>
    </w:p>
    <w:p>
      <w:pPr>
        <w:pStyle w:val="32"/>
        <w:rPr>
          <w:rFonts w:ascii="宋体" w:hAnsi="宋体" w:cs="宋体"/>
        </w:rPr>
      </w:pPr>
      <w:r>
        <w:rPr>
          <w:rFonts w:hint="eastAsia" w:ascii="宋体" w:hAnsi="宋体" w:cs="宋体"/>
        </w:rPr>
        <w:t>26.4 有下列情形之一的，视为投标人串通投标，投标无效：</w:t>
      </w:r>
    </w:p>
    <w:p>
      <w:pPr>
        <w:pStyle w:val="32"/>
        <w:rPr>
          <w:rFonts w:ascii="宋体" w:hAnsi="宋体" w:cs="宋体"/>
        </w:rPr>
      </w:pPr>
      <w:r>
        <w:rPr>
          <w:rFonts w:hint="eastAsia" w:ascii="宋体" w:hAnsi="宋体" w:cs="宋体"/>
        </w:rPr>
        <w:t>（1）不同投标人的投标文件由同一单位或者个人编制；</w:t>
      </w:r>
    </w:p>
    <w:p>
      <w:pPr>
        <w:pStyle w:val="32"/>
        <w:rPr>
          <w:rFonts w:ascii="宋体" w:hAnsi="宋体" w:cs="宋体"/>
        </w:rPr>
      </w:pPr>
      <w:r>
        <w:rPr>
          <w:rFonts w:hint="eastAsia" w:ascii="宋体" w:hAnsi="宋体" w:cs="宋体"/>
        </w:rPr>
        <w:t>（2）不同投标人委托同一单位或者个人办理投标事宜；</w:t>
      </w:r>
    </w:p>
    <w:p>
      <w:pPr>
        <w:pStyle w:val="32"/>
        <w:rPr>
          <w:rFonts w:ascii="宋体" w:hAnsi="宋体" w:cs="宋体"/>
        </w:rPr>
      </w:pPr>
      <w:r>
        <w:rPr>
          <w:rFonts w:hint="eastAsia" w:ascii="宋体" w:hAnsi="宋体" w:cs="宋体"/>
        </w:rPr>
        <w:t>（3） 不同投标人的投标文件载明的项目管理成员或者联系人员为同一人；</w:t>
      </w:r>
    </w:p>
    <w:p>
      <w:pPr>
        <w:pStyle w:val="32"/>
        <w:rPr>
          <w:rFonts w:ascii="宋体" w:hAnsi="宋体" w:cs="宋体"/>
        </w:rPr>
      </w:pPr>
      <w:r>
        <w:rPr>
          <w:rFonts w:hint="eastAsia" w:ascii="宋体" w:hAnsi="宋体" w:cs="宋体"/>
        </w:rPr>
        <w:t>（4）不同投标人的投标文件异常一致或者投标报价呈规律性差异；</w:t>
      </w:r>
    </w:p>
    <w:p>
      <w:pPr>
        <w:pStyle w:val="32"/>
        <w:rPr>
          <w:rFonts w:ascii="宋体" w:hAnsi="宋体" w:cs="宋体"/>
        </w:rPr>
      </w:pPr>
      <w:r>
        <w:rPr>
          <w:rFonts w:hint="eastAsia" w:ascii="宋体" w:hAnsi="宋体" w:cs="宋体"/>
        </w:rPr>
        <w:t>（5）不同投标人的投标文件相互混装；</w:t>
      </w:r>
    </w:p>
    <w:p>
      <w:pPr>
        <w:pStyle w:val="32"/>
        <w:rPr>
          <w:rFonts w:ascii="宋体" w:hAnsi="宋体" w:cs="宋体"/>
        </w:rPr>
      </w:pPr>
      <w:r>
        <w:rPr>
          <w:rFonts w:hint="eastAsia" w:ascii="宋体" w:hAnsi="宋体" w:cs="宋体"/>
        </w:rPr>
        <w:t>（6）不同投标人的投标保证金从同一单位或者个人的账户转出。</w:t>
      </w:r>
    </w:p>
    <w:p>
      <w:pPr>
        <w:pStyle w:val="32"/>
        <w:rPr>
          <w:rFonts w:ascii="宋体" w:hAnsi="宋体" w:cs="宋体"/>
          <w:b/>
        </w:rPr>
      </w:pPr>
      <w:r>
        <w:rPr>
          <w:rFonts w:hint="eastAsia" w:ascii="宋体" w:hAnsi="宋体" w:cs="宋体"/>
          <w:b/>
        </w:rPr>
        <w:t>27.质疑处理</w:t>
      </w:r>
      <w:bookmarkEnd w:id="155"/>
    </w:p>
    <w:p>
      <w:pPr>
        <w:pStyle w:val="32"/>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32"/>
        <w:rPr>
          <w:rFonts w:ascii="宋体" w:hAnsi="宋体" w:cs="宋体"/>
          <w:b/>
        </w:rPr>
      </w:pPr>
      <w:r>
        <w:rPr>
          <w:rFonts w:hint="eastAsia" w:ascii="宋体" w:hAnsi="宋体" w:cs="宋体"/>
          <w:b/>
        </w:rPr>
        <w:t>28.中标通知书</w:t>
      </w:r>
    </w:p>
    <w:p>
      <w:pPr>
        <w:pStyle w:val="32"/>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32"/>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32"/>
        <w:rPr>
          <w:rFonts w:ascii="宋体" w:hAnsi="宋体" w:cs="宋体"/>
          <w:b/>
        </w:rPr>
      </w:pPr>
      <w:bookmarkStart w:id="156" w:name="_Toc517190888"/>
      <w:bookmarkStart w:id="157" w:name="_Toc120614220"/>
      <w:bookmarkStart w:id="158" w:name="_Toc16938552"/>
      <w:bookmarkStart w:id="159" w:name="_Toc513029236"/>
      <w:bookmarkStart w:id="160" w:name="_Toc20823308"/>
      <w:r>
        <w:rPr>
          <w:rFonts w:hint="eastAsia" w:ascii="宋体" w:hAnsi="宋体" w:cs="宋体"/>
          <w:b/>
        </w:rPr>
        <w:t>七、授予合同</w:t>
      </w:r>
      <w:bookmarkEnd w:id="156"/>
      <w:bookmarkEnd w:id="157"/>
    </w:p>
    <w:bookmarkEnd w:id="158"/>
    <w:bookmarkEnd w:id="159"/>
    <w:bookmarkEnd w:id="160"/>
    <w:p>
      <w:pPr>
        <w:pStyle w:val="32"/>
        <w:rPr>
          <w:rFonts w:ascii="宋体" w:hAnsi="宋体" w:cs="宋体"/>
          <w:b/>
        </w:rPr>
      </w:pPr>
      <w:bookmarkStart w:id="161" w:name="_Toc16938553"/>
      <w:bookmarkStart w:id="162" w:name="_Toc513029237"/>
      <w:bookmarkStart w:id="163" w:name="_Toc20823309"/>
      <w:r>
        <w:rPr>
          <w:rFonts w:hint="eastAsia" w:ascii="宋体" w:hAnsi="宋体" w:cs="宋体"/>
          <w:b/>
        </w:rPr>
        <w:t>29. 签订合同</w:t>
      </w:r>
    </w:p>
    <w:p>
      <w:pPr>
        <w:pStyle w:val="32"/>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32"/>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32"/>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1"/>
    <w:bookmarkEnd w:id="162"/>
    <w:bookmarkEnd w:id="163"/>
    <w:p>
      <w:pPr>
        <w:pStyle w:val="32"/>
        <w:rPr>
          <w:rFonts w:ascii="宋体" w:hAnsi="宋体" w:cs="宋体"/>
          <w:b/>
        </w:rPr>
      </w:pPr>
      <w:bookmarkStart w:id="164" w:name="_Toc517190889"/>
      <w:r>
        <w:rPr>
          <w:rFonts w:hint="eastAsia" w:ascii="宋体" w:hAnsi="宋体" w:cs="宋体"/>
          <w:b/>
        </w:rPr>
        <w:t>八、其他</w:t>
      </w:r>
      <w:bookmarkEnd w:id="164"/>
    </w:p>
    <w:p>
      <w:pPr>
        <w:pStyle w:val="32"/>
        <w:rPr>
          <w:rFonts w:ascii="宋体" w:hAnsi="宋体" w:cs="宋体"/>
          <w:b/>
        </w:rPr>
      </w:pPr>
      <w:r>
        <w:rPr>
          <w:rFonts w:hint="eastAsia" w:ascii="宋体" w:hAnsi="宋体" w:cs="宋体"/>
          <w:b/>
        </w:rPr>
        <w:t>30.样品</w:t>
      </w:r>
    </w:p>
    <w:p>
      <w:pPr>
        <w:pStyle w:val="32"/>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5"/>
        <w:keepNext w:val="0"/>
        <w:pageBreakBefore/>
        <w:rPr>
          <w:rFonts w:asciiTheme="minorEastAsia" w:hAnsiTheme="minorEastAsia" w:eastAsiaTheme="minorEastAsia"/>
          <w:b/>
          <w:color w:val="auto"/>
          <w:sz w:val="44"/>
          <w:szCs w:val="44"/>
          <w:highlight w:val="none"/>
        </w:rPr>
      </w:pPr>
      <w:bookmarkStart w:id="165" w:name="_Toc523931347"/>
      <w:r>
        <w:rPr>
          <w:rFonts w:hint="eastAsia" w:asciiTheme="minorEastAsia" w:hAnsiTheme="minorEastAsia" w:eastAsiaTheme="minorEastAsia"/>
          <w:b/>
          <w:color w:val="auto"/>
          <w:sz w:val="44"/>
          <w:szCs w:val="44"/>
          <w:highlight w:val="none"/>
        </w:rPr>
        <w:t>第三章   项目需求</w:t>
      </w:r>
      <w:bookmarkEnd w:id="165"/>
    </w:p>
    <w:p>
      <w:pPr>
        <w:pStyle w:val="38"/>
        <w:spacing w:line="360" w:lineRule="auto"/>
        <w:ind w:firstLine="0" w:firstLineChars="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一、技术参数要求</w:t>
      </w:r>
    </w:p>
    <w:p>
      <w:pPr>
        <w:pStyle w:val="38"/>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1、桌上型通风柜</w:t>
      </w:r>
    </w:p>
    <w:p>
      <w:pPr>
        <w:pStyle w:val="32"/>
        <w:ind w:firstLine="0"/>
        <w:rPr>
          <w:rFonts w:ascii="宋体" w:hAnsi="宋体" w:cs="宋体"/>
        </w:rPr>
      </w:pPr>
      <w:r>
        <w:rPr>
          <w:rFonts w:hint="eastAsia" w:ascii="宋体" w:hAnsi="宋体" w:cs="宋体"/>
        </w:rPr>
        <w:t>1）①通风柜本体为全钢外壳，耐蚀材料内衬的双层结构；②　钢制柜体加工材料为宝钢、鞍钢或同等级的优质低碳冷轧钢板，钢材基本厚度须达到或优于以下标准：1.2mm：通风柜外壳封板；1.2mm：通风柜上面板，通风柜上装饰封板(至吊顶间)；</w:t>
      </w:r>
    </w:p>
    <w:p>
      <w:pPr>
        <w:pStyle w:val="32"/>
        <w:ind w:firstLine="0"/>
        <w:rPr>
          <w:rFonts w:ascii="宋体" w:hAnsi="宋体" w:cs="宋体"/>
        </w:rPr>
      </w:pPr>
      <w:r>
        <w:rPr>
          <w:rFonts w:hint="eastAsia" w:ascii="宋体" w:hAnsi="宋体" w:cs="宋体"/>
        </w:rPr>
        <w:t>3）①内衬板材料：采用抗倍特耐腐蚀板材制作；②导流板：导流板须和内衬材料一致；③导流板固定座：采用耐蚀塑料材质(聚丙烯、聚氯乙烯或其它更佳的耐蚀塑料)④内维修门密封条：采用耐蚀塑料材质(聚丙烯、聚氯乙烯或其它更佳的耐蚀塑料)制作，以确保通风柜内维修门的密封性，避免污染外泄。</w:t>
      </w:r>
    </w:p>
    <w:p>
      <w:pPr>
        <w:pStyle w:val="32"/>
        <w:ind w:firstLine="0"/>
        <w:rPr>
          <w:rFonts w:ascii="宋体" w:hAnsi="宋体" w:cs="宋体"/>
        </w:rPr>
      </w:pPr>
      <w:r>
        <w:rPr>
          <w:rFonts w:hint="eastAsia" w:ascii="宋体" w:hAnsi="宋体" w:cs="宋体"/>
        </w:rPr>
        <w:t>4)①调节门：视窗玻璃：采用5mm厚的钢化玻璃工艺制作；②　调节门悬挂装置：宽×厚不小于9×3mm的软质塑料(内含钢丝)高强度同步带；滑轮固定座需具有防索带脱落设计；③　调节门把手：采用耐蚀塑料材质(聚丙烯、聚氯乙烯或其它更佳的耐蚀塑料)。④　调节门轨道：采用耐蚀塑料材质(聚丙烯、聚氯乙烯或其它更佳的耐蚀塑料)。</w:t>
      </w:r>
    </w:p>
    <w:p>
      <w:pPr>
        <w:pStyle w:val="32"/>
        <w:ind w:firstLine="0"/>
        <w:rPr>
          <w:rFonts w:ascii="宋体" w:hAnsi="宋体" w:cs="宋体"/>
        </w:rPr>
      </w:pPr>
      <w:r>
        <w:rPr>
          <w:rFonts w:hint="eastAsia" w:ascii="宋体" w:hAnsi="宋体" w:cs="宋体"/>
        </w:rPr>
        <w:t>5）集气风罩：采用钟型集气风罩，以抗强酸腐蚀的聚丙烯材质无缝一体注塑成型制作。</w:t>
      </w:r>
    </w:p>
    <w:p>
      <w:pPr>
        <w:pStyle w:val="32"/>
        <w:ind w:firstLine="0"/>
        <w:rPr>
          <w:rFonts w:ascii="宋体" w:hAnsi="宋体" w:cs="宋体"/>
        </w:rPr>
      </w:pPr>
      <w:r>
        <w:rPr>
          <w:rFonts w:hint="eastAsia" w:ascii="宋体" w:hAnsi="宋体" w:cs="宋体"/>
        </w:rPr>
        <w:t>6）电源插头穿线口/槽：通风柜两侧前缘应具有穿线口/槽设计，穿线口/槽大小应足以通过插头，方便通风柜内部的仪器设备电源插头通过并衔接至柜外插座，以避免电线无秩序的纠缠披挂在下通风板上确保安全</w:t>
      </w:r>
    </w:p>
    <w:p>
      <w:pPr>
        <w:pStyle w:val="32"/>
        <w:ind w:firstLine="0"/>
        <w:rPr>
          <w:rFonts w:ascii="宋体" w:hAnsi="宋体" w:cs="宋体"/>
        </w:rPr>
      </w:pPr>
      <w:r>
        <w:rPr>
          <w:rFonts w:hint="eastAsia" w:ascii="宋体" w:hAnsi="宋体" w:cs="宋体"/>
        </w:rPr>
        <w:t>7）装饰封板：当在通风柜与吊顶之间有空隙时，须使用钢制装饰封板遮盖，封板的颜色须与通风柜整体配合，不得在现场直接以其它材料加工制作装饰封板；所有装饰封板为可拆装式设计，其组装螺丝须以孔塞或其他适当方式遮蔽不可外露</w:t>
      </w:r>
    </w:p>
    <w:p>
      <w:pPr>
        <w:pStyle w:val="32"/>
        <w:ind w:firstLine="0"/>
        <w:rPr>
          <w:rFonts w:ascii="宋体" w:hAnsi="宋体" w:cs="宋体"/>
        </w:rPr>
      </w:pPr>
      <w:r>
        <w:rPr>
          <w:rFonts w:hint="eastAsia" w:ascii="宋体" w:hAnsi="宋体" w:cs="宋体"/>
        </w:rPr>
        <w:t>8）照明灯具应为LED灯管</w:t>
      </w:r>
    </w:p>
    <w:p>
      <w:pPr>
        <w:pStyle w:val="32"/>
        <w:ind w:firstLine="0"/>
        <w:rPr>
          <w:rFonts w:ascii="宋体" w:hAnsi="宋体" w:cs="宋体"/>
        </w:rPr>
      </w:pPr>
      <w:r>
        <w:rPr>
          <w:rFonts w:hint="eastAsia" w:ascii="宋体" w:hAnsi="宋体" w:cs="宋体"/>
        </w:rPr>
        <w:t>9）电气装置：除有特别说明者外，每台桌上型通风柜装设4组电源插座；</w:t>
      </w:r>
    </w:p>
    <w:p>
      <w:pPr>
        <w:pStyle w:val="32"/>
        <w:ind w:firstLine="0"/>
        <w:rPr>
          <w:rFonts w:ascii="宋体" w:hAnsi="宋体" w:cs="宋体"/>
        </w:rPr>
      </w:pPr>
      <w:r>
        <w:rPr>
          <w:rFonts w:hint="eastAsia" w:ascii="宋体" w:hAnsi="宋体" w:cs="宋体"/>
        </w:rPr>
        <w:t>10)所有通风柜电源插座及电气元器件须安装在工作空间外部正面的左右操作面板上，以避免插头插拔时的火花引起柜内可燃性气体闪爆危险；更不允许安装在台面下方位置，以避免台面上液体意外溢流时引起的电气短路危险。</w:t>
      </w:r>
    </w:p>
    <w:p>
      <w:pPr>
        <w:pStyle w:val="32"/>
        <w:ind w:firstLine="0"/>
        <w:rPr>
          <w:rFonts w:ascii="宋体" w:hAnsi="宋体" w:cs="宋体"/>
          <w:b/>
          <w:bCs/>
        </w:rPr>
      </w:pPr>
      <w:r>
        <w:rPr>
          <w:rFonts w:hint="eastAsia" w:ascii="宋体" w:hAnsi="宋体" w:cs="宋体"/>
          <w:b/>
          <w:bCs/>
        </w:rPr>
        <w:t>11）▲柜体耐腐蚀性要求：依据GB24820-2009规定进行检测，不小于24h乙酸盐雾试验，检测结果：至少达到9级，投标厂家需提供经过CMA或CNAS认证的第三方检测机构出具的根据GB24820-2009检测的检测报告复印件加盖公章。</w:t>
      </w:r>
    </w:p>
    <w:p>
      <w:pPr>
        <w:pStyle w:val="32"/>
        <w:ind w:firstLine="0"/>
        <w:rPr>
          <w:rFonts w:ascii="宋体" w:hAnsi="宋体" w:cs="宋体"/>
          <w:b/>
          <w:bCs/>
        </w:rPr>
      </w:pPr>
      <w:r>
        <w:rPr>
          <w:rFonts w:hint="eastAsia" w:ascii="宋体" w:hAnsi="宋体" w:cs="宋体"/>
          <w:b/>
          <w:bCs/>
        </w:rPr>
        <w:t>12）▲柜体环保要求：</w:t>
      </w:r>
      <w:r>
        <w:rPr>
          <w:rFonts w:ascii="宋体" w:hAnsi="宋体" w:cs="宋体"/>
          <w:b/>
          <w:bCs/>
        </w:rPr>
        <w:t>依据HJ2547-2016《环境标志产品技术要求家具》标准，柜体喷涂检验：其中铅、汞、硒、 锑、砷重金属物检测结果应为未检出</w:t>
      </w:r>
      <w:r>
        <w:rPr>
          <w:rFonts w:hint="eastAsia" w:ascii="宋体" w:hAnsi="宋体" w:cs="宋体"/>
          <w:b/>
          <w:bCs/>
        </w:rPr>
        <w:t>，投标厂家需提供经过CMA或CNAS认证的第三方检测机构出具根据</w:t>
      </w:r>
      <w:r>
        <w:rPr>
          <w:rFonts w:ascii="宋体" w:hAnsi="宋体" w:cs="宋体"/>
          <w:b/>
          <w:bCs/>
        </w:rPr>
        <w:t>HJ2547-2016《环境标志产品技术要求家具》标准</w:t>
      </w:r>
      <w:r>
        <w:rPr>
          <w:rFonts w:hint="eastAsia" w:ascii="宋体" w:hAnsi="宋体" w:cs="宋体"/>
          <w:b/>
          <w:bCs/>
        </w:rPr>
        <w:t>检测的报告复印件加盖公章。</w:t>
      </w:r>
    </w:p>
    <w:p>
      <w:pPr>
        <w:pStyle w:val="32"/>
        <w:ind w:firstLine="0"/>
        <w:rPr>
          <w:rFonts w:ascii="宋体" w:hAnsi="宋体" w:cs="宋体"/>
          <w:b/>
          <w:bCs/>
        </w:rPr>
      </w:pPr>
      <w:r>
        <w:rPr>
          <w:rFonts w:hint="eastAsia" w:ascii="宋体" w:hAnsi="宋体" w:cs="宋体"/>
          <w:b/>
          <w:bCs/>
        </w:rPr>
        <w:t>2、实验室自控系统技术要求</w:t>
      </w:r>
    </w:p>
    <w:p>
      <w:pPr>
        <w:pStyle w:val="6"/>
        <w:spacing w:line="360" w:lineRule="auto"/>
        <w:rPr>
          <w:rFonts w:ascii="宋体" w:hAnsi="宋体" w:eastAsia="宋体" w:cs="宋体"/>
          <w:sz w:val="24"/>
          <w:szCs w:val="24"/>
        </w:rPr>
      </w:pPr>
      <w:r>
        <w:rPr>
          <w:rFonts w:hint="eastAsia" w:ascii="宋体" w:hAnsi="宋体" w:eastAsia="宋体" w:cs="宋体"/>
          <w:sz w:val="24"/>
          <w:szCs w:val="24"/>
        </w:rPr>
        <w:t>2.1设计依据：</w:t>
      </w:r>
    </w:p>
    <w:p>
      <w:pPr>
        <w:tabs>
          <w:tab w:val="left" w:pos="720"/>
        </w:tabs>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《科研建筑设计标准》（JGJ 91—2019）</w:t>
      </w:r>
    </w:p>
    <w:p>
      <w:pPr>
        <w:tabs>
          <w:tab w:val="left" w:pos="720"/>
        </w:tabs>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《通用用电设备配电设计规范》（GB50055-1993）</w:t>
      </w:r>
    </w:p>
    <w:p>
      <w:pPr>
        <w:tabs>
          <w:tab w:val="left" w:pos="720"/>
        </w:tabs>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《低压配电设计规范》 （GB50054-1995）</w:t>
      </w:r>
    </w:p>
    <w:p>
      <w:pPr>
        <w:tabs>
          <w:tab w:val="left" w:pos="720"/>
        </w:tabs>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《民用建筑电气设计规范》（JBJ / T16-92）</w:t>
      </w:r>
    </w:p>
    <w:p>
      <w:pPr>
        <w:tabs>
          <w:tab w:val="left" w:pos="720"/>
        </w:tabs>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《电气装置安装工程施工及验收规范》（GBJ232-92）</w:t>
      </w:r>
    </w:p>
    <w:p>
      <w:pPr>
        <w:tabs>
          <w:tab w:val="left" w:pos="720"/>
        </w:tabs>
        <w:autoSpaceDE w:val="0"/>
        <w:autoSpaceDN w:val="0"/>
        <w:spacing w:line="360" w:lineRule="auto"/>
        <w:rPr>
          <w:rFonts w:ascii="宋体" w:hAnsi="宋体" w:eastAsia="宋体" w:cs="宋体"/>
          <w:sz w:val="24"/>
          <w:szCs w:val="24"/>
          <w:lang w:val="zh-CN"/>
        </w:rPr>
      </w:pPr>
      <w:r>
        <w:rPr>
          <w:rFonts w:hint="eastAsia" w:ascii="宋体" w:hAnsi="宋体" w:eastAsia="宋体" w:cs="宋体"/>
          <w:sz w:val="24"/>
          <w:szCs w:val="24"/>
          <w:lang w:val="zh-CN"/>
        </w:rPr>
        <w:t>《化学品理化及其危险性检测实验室安全要求》（GB T 24777-2009）</w:t>
      </w:r>
    </w:p>
    <w:p>
      <w:pPr>
        <w:pStyle w:val="6"/>
        <w:spacing w:line="360" w:lineRule="auto"/>
        <w:rPr>
          <w:rFonts w:ascii="宋体" w:hAnsi="宋体" w:eastAsia="宋体" w:cs="宋体"/>
          <w:sz w:val="24"/>
          <w:szCs w:val="24"/>
        </w:rPr>
      </w:pPr>
      <w:r>
        <w:rPr>
          <w:rFonts w:hint="eastAsia" w:ascii="宋体" w:hAnsi="宋体" w:eastAsia="宋体" w:cs="宋体"/>
          <w:sz w:val="24"/>
          <w:szCs w:val="24"/>
        </w:rPr>
        <w:t>2.2通风柜控制系统</w:t>
      </w:r>
    </w:p>
    <w:p>
      <w:pPr>
        <w:pStyle w:val="56"/>
        <w:spacing w:line="360" w:lineRule="auto"/>
        <w:rPr>
          <w:rFonts w:ascii="宋体" w:hAnsi="宋体" w:cs="宋体"/>
          <w:szCs w:val="24"/>
          <w:lang w:val="en-US" w:eastAsia="zh-CN"/>
        </w:rPr>
      </w:pPr>
      <w:r>
        <w:rPr>
          <w:rFonts w:hint="eastAsia" w:ascii="宋体" w:hAnsi="宋体" w:cs="宋体"/>
          <w:szCs w:val="24"/>
          <w:lang w:val="en-US" w:eastAsia="zh-CN"/>
        </w:rPr>
        <w:t>通风柜面风速控制系统通过调整风阀开度从而控制通风柜的排风风量，使通风柜达到一定的面风速。操作简单，便于气流控制。每台通风柜安装一个电子风量调节阀，其控制开关和变频控制系统及风机联动，可实现单台或多台通风设备等不同工况下的控制。</w:t>
      </w:r>
    </w:p>
    <w:p>
      <w:pPr>
        <w:spacing w:line="360" w:lineRule="auto"/>
        <w:rPr>
          <w:rFonts w:ascii="宋体" w:hAnsi="宋体" w:eastAsia="宋体" w:cs="宋体"/>
          <w:sz w:val="24"/>
          <w:szCs w:val="24"/>
        </w:rPr>
      </w:pPr>
      <w:r>
        <w:rPr>
          <w:rFonts w:hint="eastAsia" w:ascii="宋体" w:hAnsi="宋体" w:eastAsia="宋体" w:cs="宋体"/>
          <w:sz w:val="24"/>
          <w:szCs w:val="24"/>
        </w:rPr>
        <w:t>通风柜显示面板技术要求：</w:t>
      </w:r>
    </w:p>
    <w:p>
      <w:pPr>
        <w:spacing w:line="360" w:lineRule="auto"/>
        <w:rPr>
          <w:rFonts w:ascii="宋体" w:hAnsi="宋体" w:eastAsia="宋体" w:cs="宋体"/>
          <w:sz w:val="24"/>
          <w:szCs w:val="24"/>
        </w:rPr>
      </w:pPr>
      <w:r>
        <w:rPr>
          <w:rFonts w:hint="eastAsia" w:ascii="宋体" w:hAnsi="宋体" w:eastAsia="宋体" w:cs="宋体"/>
          <w:sz w:val="24"/>
          <w:szCs w:val="24"/>
        </w:rPr>
        <w:t>（1）高清LCD彩色液晶显示面板，可进行参数设置。</w:t>
      </w:r>
    </w:p>
    <w:p>
      <w:pPr>
        <w:spacing w:line="360" w:lineRule="auto"/>
        <w:rPr>
          <w:rFonts w:ascii="宋体" w:hAnsi="宋体" w:eastAsia="宋体" w:cs="宋体"/>
          <w:sz w:val="24"/>
          <w:szCs w:val="24"/>
        </w:rPr>
      </w:pPr>
      <w:r>
        <w:rPr>
          <w:rFonts w:hint="eastAsia" w:ascii="宋体" w:hAnsi="宋体" w:eastAsia="宋体" w:cs="宋体"/>
          <w:sz w:val="24"/>
          <w:szCs w:val="24"/>
        </w:rPr>
        <w:t>（2）可调节风阀角度，控制风阀启停。</w:t>
      </w:r>
    </w:p>
    <w:p>
      <w:pPr>
        <w:pStyle w:val="22"/>
        <w:spacing w:line="360" w:lineRule="auto"/>
        <w:ind w:firstLine="0"/>
        <w:rPr>
          <w:rFonts w:ascii="宋体" w:hAnsi="宋体" w:cs="宋体"/>
          <w:kern w:val="0"/>
          <w:szCs w:val="24"/>
        </w:rPr>
      </w:pPr>
      <w:r>
        <w:rPr>
          <w:rFonts w:hint="eastAsia" w:ascii="宋体" w:hAnsi="宋体" w:cs="宋体"/>
          <w:kern w:val="0"/>
          <w:szCs w:val="24"/>
        </w:rPr>
        <w:t>（3）可设置目标值参数，反应快。</w:t>
      </w:r>
    </w:p>
    <w:p>
      <w:pPr>
        <w:pStyle w:val="19"/>
        <w:spacing w:line="360" w:lineRule="auto"/>
        <w:rPr>
          <w:rFonts w:hAnsi="宋体" w:eastAsia="宋体" w:cs="宋体"/>
          <w:b w:val="0"/>
          <w:bCs/>
          <w:lang w:val="en-US"/>
        </w:rPr>
      </w:pPr>
      <w:r>
        <w:rPr>
          <w:rFonts w:hint="eastAsia" w:hAnsi="宋体" w:eastAsia="宋体" w:cs="宋体"/>
          <w:b w:val="0"/>
          <w:bCs/>
          <w:lang w:val="en-US"/>
        </w:rPr>
        <w:t>（4）支持485通信，抗干扰。</w:t>
      </w:r>
    </w:p>
    <w:p>
      <w:pPr>
        <w:pStyle w:val="6"/>
        <w:spacing w:line="360" w:lineRule="auto"/>
        <w:rPr>
          <w:rFonts w:ascii="宋体" w:hAnsi="宋体" w:eastAsia="宋体" w:cs="宋体"/>
          <w:sz w:val="24"/>
          <w:szCs w:val="24"/>
        </w:rPr>
      </w:pPr>
      <w:r>
        <w:rPr>
          <w:rFonts w:hint="eastAsia" w:ascii="宋体" w:hAnsi="宋体" w:eastAsia="宋体" w:cs="宋体"/>
          <w:sz w:val="24"/>
          <w:szCs w:val="24"/>
        </w:rPr>
        <w:t>2.3排风机组控制系统</w:t>
      </w:r>
    </w:p>
    <w:p>
      <w:pPr>
        <w:tabs>
          <w:tab w:val="left" w:pos="840"/>
        </w:tabs>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排风机组风机变频控制：</w:t>
      </w:r>
      <w:bookmarkStart w:id="166" w:name="_Toc30469"/>
      <w:r>
        <w:rPr>
          <w:rFonts w:hint="eastAsia" w:ascii="宋体" w:hAnsi="宋体" w:eastAsia="宋体" w:cs="宋体"/>
          <w:sz w:val="24"/>
          <w:szCs w:val="24"/>
        </w:rPr>
        <w:t>采用定静压控制方法，控制排风机组变频运转。根据风机功率特性，当风量增大或减小时，风机管道静压相应减小或增大，因此在风机排风主管道上设置管道静压传感器，通过控制器和变频器调节风机转速，维持管道静压，从而调节系统在原静压状态运行，当系统风量减少时同时可达到变频节能的目的。</w:t>
      </w:r>
    </w:p>
    <w:p>
      <w:pPr>
        <w:pStyle w:val="32"/>
        <w:ind w:firstLine="0"/>
        <w:rPr>
          <w:rFonts w:ascii="宋体" w:hAnsi="宋体" w:cs="宋体"/>
          <w:b/>
          <w:bCs/>
        </w:rPr>
      </w:pPr>
      <w:r>
        <w:rPr>
          <w:rFonts w:hint="eastAsia" w:ascii="宋体" w:hAnsi="宋体" w:cs="宋体"/>
          <w:b/>
          <w:bCs/>
        </w:rPr>
        <w:t>▲投标厂家需提供符合CMA和CNAS认证的第三方检测机提供的通过ASHRAE110-2016-AI标准的以往项目实际案例中实验室变风量排风柜性能测试的报告复印件加盖公章。</w:t>
      </w:r>
    </w:p>
    <w:p>
      <w:pPr>
        <w:tabs>
          <w:tab w:val="left" w:pos="840"/>
        </w:tabs>
        <w:autoSpaceDE w:val="0"/>
        <w:autoSpaceDN w:val="0"/>
        <w:spacing w:after="120" w:line="360" w:lineRule="auto"/>
        <w:rPr>
          <w:rFonts w:ascii="宋体" w:hAnsi="宋体" w:eastAsia="宋体" w:cs="宋体"/>
          <w:sz w:val="24"/>
          <w:szCs w:val="24"/>
        </w:rPr>
      </w:pPr>
      <w:r>
        <w:rPr>
          <w:rFonts w:hint="eastAsia" w:ascii="宋体" w:hAnsi="宋体" w:eastAsia="宋体" w:cs="宋体"/>
          <w:sz w:val="24"/>
          <w:szCs w:val="24"/>
        </w:rPr>
        <w:t>1.功能特性：</w:t>
      </w:r>
    </w:p>
    <w:p>
      <w:pPr>
        <w:spacing w:line="360" w:lineRule="auto"/>
        <w:rPr>
          <w:rFonts w:ascii="宋体" w:hAnsi="宋体" w:eastAsia="宋体" w:cs="宋体"/>
          <w:sz w:val="24"/>
          <w:szCs w:val="24"/>
        </w:rPr>
      </w:pPr>
      <w:r>
        <w:rPr>
          <w:rFonts w:hint="eastAsia" w:ascii="宋体" w:hAnsi="宋体" w:eastAsia="宋体" w:cs="宋体"/>
          <w:sz w:val="24"/>
          <w:szCs w:val="24"/>
        </w:rPr>
        <w:t>（1）实时监测排风管内压力并控制变频器运转频率，以维持排风压力在在允许范围内；</w:t>
      </w:r>
    </w:p>
    <w:p>
      <w:pPr>
        <w:spacing w:line="360" w:lineRule="auto"/>
        <w:rPr>
          <w:rFonts w:ascii="宋体" w:hAnsi="宋体" w:eastAsia="宋体" w:cs="宋体"/>
          <w:sz w:val="24"/>
          <w:szCs w:val="24"/>
        </w:rPr>
      </w:pPr>
      <w:r>
        <w:rPr>
          <w:rFonts w:hint="eastAsia" w:ascii="宋体" w:hAnsi="宋体" w:eastAsia="宋体" w:cs="宋体"/>
          <w:sz w:val="24"/>
          <w:szCs w:val="24"/>
        </w:rPr>
        <w:t>（2）实时监测排风机的运行状态、故障报警状态；</w:t>
      </w:r>
    </w:p>
    <w:p>
      <w:pPr>
        <w:spacing w:line="360" w:lineRule="auto"/>
        <w:rPr>
          <w:rFonts w:ascii="宋体" w:hAnsi="宋体" w:eastAsia="宋体" w:cs="宋体"/>
          <w:sz w:val="24"/>
          <w:szCs w:val="24"/>
        </w:rPr>
      </w:pPr>
      <w:r>
        <w:rPr>
          <w:rFonts w:hint="eastAsia" w:ascii="宋体" w:hAnsi="宋体" w:eastAsia="宋体" w:cs="宋体"/>
          <w:sz w:val="24"/>
          <w:szCs w:val="24"/>
        </w:rPr>
        <w:t>（3）设备动力启动柜面板上带手/自动切换功能，以便日后风机维护保养；</w:t>
      </w:r>
    </w:p>
    <w:p>
      <w:pPr>
        <w:spacing w:line="360" w:lineRule="auto"/>
        <w:rPr>
          <w:rFonts w:ascii="宋体" w:hAnsi="宋体" w:eastAsia="宋体" w:cs="宋体"/>
          <w:sz w:val="24"/>
          <w:szCs w:val="24"/>
        </w:rPr>
      </w:pPr>
      <w:r>
        <w:rPr>
          <w:rFonts w:hint="eastAsia" w:ascii="宋体" w:hAnsi="宋体" w:eastAsia="宋体" w:cs="宋体"/>
          <w:sz w:val="24"/>
          <w:szCs w:val="24"/>
        </w:rPr>
        <w:t>（4）根据具体房间(设备)的需求指令自动启停机组(当切换在自动功能)；</w:t>
      </w:r>
    </w:p>
    <w:p>
      <w:pPr>
        <w:spacing w:line="360" w:lineRule="auto"/>
        <w:rPr>
          <w:rFonts w:ascii="宋体" w:hAnsi="宋体" w:eastAsia="宋体" w:cs="宋体"/>
          <w:sz w:val="24"/>
          <w:szCs w:val="24"/>
        </w:rPr>
      </w:pPr>
      <w:r>
        <w:rPr>
          <w:rFonts w:hint="eastAsia" w:ascii="宋体" w:hAnsi="宋体" w:eastAsia="宋体" w:cs="宋体"/>
          <w:sz w:val="24"/>
          <w:szCs w:val="24"/>
        </w:rPr>
        <w:t>（5）强冷风扇联动风机马达运行，以保护马达；</w:t>
      </w:r>
    </w:p>
    <w:p>
      <w:pPr>
        <w:spacing w:line="360" w:lineRule="auto"/>
        <w:rPr>
          <w:rFonts w:ascii="宋体" w:hAnsi="宋体" w:eastAsia="宋体" w:cs="宋体"/>
          <w:sz w:val="24"/>
          <w:szCs w:val="24"/>
        </w:rPr>
      </w:pPr>
      <w:r>
        <w:rPr>
          <w:rFonts w:hint="eastAsia" w:ascii="宋体" w:hAnsi="宋体" w:eastAsia="宋体" w:cs="宋体"/>
          <w:sz w:val="24"/>
          <w:szCs w:val="24"/>
        </w:rPr>
        <w:t>（6）风机旁设紧急停机按钮开关，以便日后风机维护保养；</w:t>
      </w:r>
    </w:p>
    <w:p>
      <w:pPr>
        <w:spacing w:line="360" w:lineRule="auto"/>
        <w:rPr>
          <w:rFonts w:ascii="宋体" w:hAnsi="宋体" w:eastAsia="宋体" w:cs="宋体"/>
          <w:sz w:val="24"/>
          <w:szCs w:val="24"/>
        </w:rPr>
      </w:pPr>
      <w:r>
        <w:rPr>
          <w:rFonts w:hint="eastAsia" w:ascii="宋体" w:hAnsi="宋体" w:eastAsia="宋体" w:cs="宋体"/>
          <w:sz w:val="24"/>
          <w:szCs w:val="24"/>
        </w:rPr>
        <w:t>（7）排风控制系统必须支持标准TCP/IP通讯协议，预留网络通讯接口，上传运行工况及报警信息至中控系统。包括限不限于：</w:t>
      </w:r>
    </w:p>
    <w:p>
      <w:pPr>
        <w:spacing w:line="360" w:lineRule="auto"/>
        <w:rPr>
          <w:rFonts w:ascii="宋体" w:hAnsi="宋体" w:eastAsia="宋体" w:cs="宋体"/>
          <w:sz w:val="24"/>
          <w:szCs w:val="24"/>
        </w:rPr>
      </w:pPr>
      <w:r>
        <w:rPr>
          <w:rFonts w:hint="eastAsia" w:ascii="宋体" w:hAnsi="宋体" w:eastAsia="宋体" w:cs="宋体"/>
          <w:sz w:val="24"/>
          <w:szCs w:val="24"/>
        </w:rPr>
        <w:t>1）排风机运行状态（运行、故障、模式等）</w:t>
      </w:r>
    </w:p>
    <w:p>
      <w:pPr>
        <w:spacing w:line="360" w:lineRule="auto"/>
        <w:rPr>
          <w:rFonts w:ascii="宋体" w:hAnsi="宋体" w:eastAsia="宋体" w:cs="宋体"/>
          <w:sz w:val="24"/>
          <w:szCs w:val="24"/>
        </w:rPr>
      </w:pPr>
      <w:r>
        <w:rPr>
          <w:rFonts w:hint="eastAsia" w:ascii="宋体" w:hAnsi="宋体" w:eastAsia="宋体" w:cs="宋体"/>
          <w:sz w:val="24"/>
          <w:szCs w:val="24"/>
        </w:rPr>
        <w:t>2）排风机工作频率</w:t>
      </w:r>
    </w:p>
    <w:p>
      <w:pPr>
        <w:spacing w:line="360" w:lineRule="auto"/>
        <w:rPr>
          <w:rFonts w:ascii="宋体" w:hAnsi="宋体" w:eastAsia="宋体" w:cs="宋体"/>
          <w:sz w:val="24"/>
          <w:szCs w:val="24"/>
        </w:rPr>
      </w:pPr>
      <w:r>
        <w:rPr>
          <w:rFonts w:hint="eastAsia" w:ascii="宋体" w:hAnsi="宋体" w:eastAsia="宋体" w:cs="宋体"/>
          <w:sz w:val="24"/>
          <w:szCs w:val="24"/>
        </w:rPr>
        <w:t>3）排风机变频器故障</w:t>
      </w:r>
    </w:p>
    <w:p>
      <w:pPr>
        <w:spacing w:line="360" w:lineRule="auto"/>
        <w:rPr>
          <w:rFonts w:ascii="宋体" w:hAnsi="宋体" w:eastAsia="宋体" w:cs="宋体"/>
          <w:sz w:val="24"/>
          <w:szCs w:val="24"/>
        </w:rPr>
      </w:pPr>
      <w:r>
        <w:rPr>
          <w:rFonts w:hint="eastAsia" w:ascii="宋体" w:hAnsi="宋体" w:eastAsia="宋体" w:cs="宋体"/>
          <w:sz w:val="24"/>
          <w:szCs w:val="24"/>
        </w:rPr>
        <w:t>4）排风管道静压</w:t>
      </w:r>
    </w:p>
    <w:p>
      <w:pPr>
        <w:spacing w:line="360" w:lineRule="auto"/>
        <w:rPr>
          <w:rFonts w:ascii="宋体" w:hAnsi="宋体" w:eastAsia="宋体" w:cs="宋体"/>
          <w:sz w:val="24"/>
          <w:szCs w:val="24"/>
        </w:rPr>
      </w:pPr>
      <w:r>
        <w:rPr>
          <w:rFonts w:hint="eastAsia" w:ascii="宋体" w:hAnsi="宋体" w:eastAsia="宋体" w:cs="宋体"/>
          <w:sz w:val="24"/>
          <w:szCs w:val="24"/>
        </w:rPr>
        <w:t>2.排风机组控制系统产品技术参数</w:t>
      </w:r>
    </w:p>
    <w:bookmarkEnd w:id="166"/>
    <w:p>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1）PLC控制器</w:t>
      </w:r>
    </w:p>
    <w:p>
      <w:pPr>
        <w:spacing w:line="360" w:lineRule="auto"/>
        <w:rPr>
          <w:rFonts w:ascii="宋体" w:hAnsi="宋体" w:eastAsia="宋体" w:cs="宋体"/>
          <w:sz w:val="24"/>
          <w:szCs w:val="24"/>
        </w:rPr>
      </w:pPr>
      <w:bookmarkStart w:id="167" w:name="_Toc27543"/>
      <w:r>
        <w:rPr>
          <w:rFonts w:hint="eastAsia" w:ascii="宋体" w:hAnsi="宋体" w:eastAsia="宋体" w:cs="宋体"/>
          <w:sz w:val="24"/>
          <w:szCs w:val="24"/>
        </w:rPr>
        <w:t>1.独立式控制单元，配置有32位(及以上)的工业级微处理器并提供RS232，RS485，与以太网等通讯接口；</w:t>
      </w:r>
    </w:p>
    <w:p>
      <w:pPr>
        <w:spacing w:line="360" w:lineRule="auto"/>
        <w:rPr>
          <w:rFonts w:ascii="宋体" w:hAnsi="宋体" w:eastAsia="宋体" w:cs="宋体"/>
          <w:sz w:val="24"/>
          <w:szCs w:val="24"/>
        </w:rPr>
      </w:pPr>
      <w:r>
        <w:rPr>
          <w:rFonts w:hint="eastAsia" w:ascii="宋体" w:hAnsi="宋体" w:eastAsia="宋体" w:cs="宋体"/>
          <w:sz w:val="24"/>
          <w:szCs w:val="24"/>
        </w:rPr>
        <w:t>2.RS232，RS485接口支持标准的MODBUS/RTU主、从协议，或者自由通讯协议；</w:t>
      </w:r>
    </w:p>
    <w:p>
      <w:pPr>
        <w:spacing w:line="360" w:lineRule="auto"/>
        <w:rPr>
          <w:rFonts w:ascii="宋体" w:hAnsi="宋体" w:eastAsia="宋体" w:cs="宋体"/>
          <w:sz w:val="24"/>
          <w:szCs w:val="24"/>
        </w:rPr>
      </w:pPr>
      <w:r>
        <w:rPr>
          <w:rFonts w:hint="eastAsia" w:ascii="宋体" w:hAnsi="宋体" w:eastAsia="宋体" w:cs="宋体"/>
          <w:sz w:val="24"/>
          <w:szCs w:val="24"/>
        </w:rPr>
        <w:t>3.以太网接口支持MODBUS/TCP主、从协议；</w:t>
      </w:r>
    </w:p>
    <w:p>
      <w:pPr>
        <w:spacing w:line="360" w:lineRule="auto"/>
        <w:rPr>
          <w:rFonts w:ascii="宋体" w:hAnsi="宋体" w:eastAsia="宋体" w:cs="宋体"/>
          <w:sz w:val="24"/>
          <w:szCs w:val="24"/>
        </w:rPr>
      </w:pPr>
      <w:r>
        <w:rPr>
          <w:rFonts w:hint="eastAsia" w:ascii="宋体" w:hAnsi="宋体" w:eastAsia="宋体" w:cs="宋体"/>
          <w:sz w:val="24"/>
          <w:szCs w:val="24"/>
        </w:rPr>
        <w:t>4.各就地控制单元通过RS485总线或以太网形式连接，并且可在局域网内直接将控制程序下载到各就地控制单元中；</w:t>
      </w:r>
    </w:p>
    <w:p>
      <w:pPr>
        <w:spacing w:line="360" w:lineRule="auto"/>
        <w:rPr>
          <w:rFonts w:ascii="宋体" w:hAnsi="宋体" w:eastAsia="宋体" w:cs="宋体"/>
          <w:sz w:val="24"/>
          <w:szCs w:val="24"/>
        </w:rPr>
      </w:pPr>
      <w:r>
        <w:rPr>
          <w:rFonts w:hint="eastAsia" w:ascii="宋体" w:hAnsi="宋体" w:eastAsia="宋体" w:cs="宋体"/>
          <w:sz w:val="24"/>
          <w:szCs w:val="24"/>
        </w:rPr>
        <w:t>5.设备平均无故障时间：不小于10万小时；</w:t>
      </w:r>
    </w:p>
    <w:p>
      <w:pPr>
        <w:spacing w:line="360" w:lineRule="auto"/>
        <w:rPr>
          <w:rFonts w:ascii="宋体" w:hAnsi="宋体" w:eastAsia="宋体" w:cs="宋体"/>
          <w:sz w:val="24"/>
          <w:szCs w:val="24"/>
        </w:rPr>
      </w:pPr>
      <w:r>
        <w:rPr>
          <w:rFonts w:hint="eastAsia" w:ascii="宋体" w:hAnsi="宋体" w:eastAsia="宋体" w:cs="宋体"/>
          <w:sz w:val="24"/>
          <w:szCs w:val="24"/>
        </w:rPr>
        <w:t>6.控制单元须具有高抗干扰能力及稳定性，I/O模块须具有过压、短路保护功能；</w:t>
      </w:r>
    </w:p>
    <w:p>
      <w:pPr>
        <w:spacing w:line="360" w:lineRule="auto"/>
        <w:rPr>
          <w:rFonts w:ascii="宋体" w:hAnsi="宋体" w:eastAsia="宋体" w:cs="宋体"/>
          <w:sz w:val="24"/>
          <w:szCs w:val="24"/>
        </w:rPr>
      </w:pPr>
      <w:r>
        <w:rPr>
          <w:rFonts w:hint="eastAsia" w:ascii="宋体" w:hAnsi="宋体" w:eastAsia="宋体" w:cs="宋体"/>
          <w:sz w:val="24"/>
          <w:szCs w:val="24"/>
        </w:rPr>
        <w:t>7.控制单元的输入点中，对于所有获取的状态信号，都需要自带光电隔离或是继电器隔离；</w:t>
      </w:r>
    </w:p>
    <w:p>
      <w:pPr>
        <w:spacing w:line="360" w:lineRule="auto"/>
        <w:rPr>
          <w:rFonts w:ascii="宋体" w:hAnsi="宋体" w:eastAsia="宋体" w:cs="宋体"/>
          <w:sz w:val="24"/>
          <w:szCs w:val="24"/>
        </w:rPr>
      </w:pPr>
      <w:r>
        <w:rPr>
          <w:rFonts w:hint="eastAsia" w:ascii="宋体" w:hAnsi="宋体" w:eastAsia="宋体" w:cs="宋体"/>
          <w:sz w:val="24"/>
          <w:szCs w:val="24"/>
        </w:rPr>
        <w:t>8.须具有数据通信接口，可接入电脑，同时具备断电保护功能，在系统长时间断电7天(及以上)后须保证不会丢失数据；</w:t>
      </w:r>
    </w:p>
    <w:p>
      <w:pPr>
        <w:spacing w:line="360" w:lineRule="auto"/>
        <w:rPr>
          <w:rFonts w:ascii="宋体" w:hAnsi="宋体" w:eastAsia="宋体" w:cs="宋体"/>
          <w:sz w:val="24"/>
          <w:szCs w:val="24"/>
        </w:rPr>
      </w:pPr>
      <w:r>
        <w:rPr>
          <w:rFonts w:hint="eastAsia" w:ascii="宋体" w:hAnsi="宋体" w:eastAsia="宋体" w:cs="宋体"/>
          <w:sz w:val="24"/>
          <w:szCs w:val="24"/>
        </w:rPr>
        <w:t>9.控制单元须符合现场总线协议并支持在线编程，能针对通讯和主要器件进行自我检测，并具备由于电源意外故障的自动再启动功能。</w:t>
      </w:r>
    </w:p>
    <w:p>
      <w:pPr>
        <w:spacing w:line="360" w:lineRule="auto"/>
        <w:rPr>
          <w:rFonts w:ascii="宋体" w:hAnsi="宋体" w:eastAsia="宋体" w:cs="宋体"/>
          <w:sz w:val="24"/>
          <w:szCs w:val="24"/>
        </w:rPr>
      </w:pPr>
      <w:r>
        <w:rPr>
          <w:rFonts w:hint="eastAsia" w:ascii="宋体" w:hAnsi="宋体" w:eastAsia="宋体" w:cs="宋体"/>
          <w:sz w:val="24"/>
          <w:szCs w:val="24"/>
        </w:rPr>
        <w:t>10.控制单元须内置直接数字控制程序。开放式模块化控制单元在现场从传感器接收信息并直接控制设备。具有以下功能：</w:t>
      </w:r>
    </w:p>
    <w:p>
      <w:pPr>
        <w:spacing w:line="360" w:lineRule="auto"/>
        <w:rPr>
          <w:rFonts w:ascii="宋体" w:hAnsi="宋体" w:eastAsia="宋体" w:cs="宋体"/>
          <w:sz w:val="24"/>
          <w:szCs w:val="24"/>
        </w:rPr>
      </w:pPr>
      <w:r>
        <w:rPr>
          <w:rFonts w:hint="eastAsia" w:ascii="宋体" w:hAnsi="宋体" w:eastAsia="宋体" w:cs="宋体"/>
          <w:sz w:val="24"/>
          <w:szCs w:val="24"/>
        </w:rPr>
        <w:t>（1）闭环回路比例，积分和微分(PID)控制；</w:t>
      </w:r>
    </w:p>
    <w:p>
      <w:pPr>
        <w:spacing w:line="360" w:lineRule="auto"/>
        <w:rPr>
          <w:rFonts w:ascii="宋体" w:hAnsi="宋体" w:eastAsia="宋体" w:cs="宋体"/>
          <w:sz w:val="24"/>
          <w:szCs w:val="24"/>
        </w:rPr>
      </w:pPr>
      <w:r>
        <w:rPr>
          <w:rFonts w:hint="eastAsia" w:ascii="宋体" w:hAnsi="宋体" w:eastAsia="宋体" w:cs="宋体"/>
          <w:sz w:val="24"/>
          <w:szCs w:val="24"/>
        </w:rPr>
        <w:t>（2）P.I.D回路控制之参数可调；</w:t>
      </w:r>
    </w:p>
    <w:p>
      <w:pPr>
        <w:spacing w:line="360" w:lineRule="auto"/>
        <w:rPr>
          <w:rFonts w:ascii="宋体" w:hAnsi="宋体" w:eastAsia="宋体" w:cs="宋体"/>
          <w:sz w:val="24"/>
          <w:szCs w:val="24"/>
        </w:rPr>
      </w:pPr>
      <w:r>
        <w:rPr>
          <w:rFonts w:hint="eastAsia" w:ascii="宋体" w:hAnsi="宋体" w:eastAsia="宋体" w:cs="宋体"/>
          <w:sz w:val="24"/>
          <w:szCs w:val="24"/>
        </w:rPr>
        <w:t>（3）逻辑顺序控制；</w:t>
      </w:r>
    </w:p>
    <w:p>
      <w:pPr>
        <w:spacing w:line="360" w:lineRule="auto"/>
        <w:rPr>
          <w:rFonts w:ascii="宋体" w:hAnsi="宋体" w:eastAsia="宋体" w:cs="宋体"/>
          <w:sz w:val="24"/>
          <w:szCs w:val="24"/>
        </w:rPr>
      </w:pPr>
      <w:r>
        <w:rPr>
          <w:rFonts w:hint="eastAsia" w:ascii="宋体" w:hAnsi="宋体" w:eastAsia="宋体" w:cs="宋体"/>
          <w:sz w:val="24"/>
          <w:szCs w:val="24"/>
        </w:rPr>
        <w:t>（4）报警监测及报告；</w:t>
      </w:r>
    </w:p>
    <w:p>
      <w:pPr>
        <w:spacing w:line="360" w:lineRule="auto"/>
        <w:rPr>
          <w:rFonts w:ascii="宋体" w:hAnsi="宋体" w:eastAsia="宋体" w:cs="宋体"/>
          <w:sz w:val="24"/>
          <w:szCs w:val="24"/>
        </w:rPr>
      </w:pPr>
      <w:r>
        <w:rPr>
          <w:rFonts w:hint="eastAsia" w:ascii="宋体" w:hAnsi="宋体" w:eastAsia="宋体" w:cs="宋体"/>
          <w:sz w:val="24"/>
          <w:szCs w:val="24"/>
        </w:rPr>
        <w:t>（5）复位控制时间表。</w:t>
      </w:r>
    </w:p>
    <w:p>
      <w:pPr>
        <w:spacing w:line="360" w:lineRule="auto"/>
        <w:rPr>
          <w:rFonts w:ascii="宋体" w:hAnsi="宋体" w:eastAsia="宋体" w:cs="宋体"/>
          <w:sz w:val="24"/>
          <w:szCs w:val="24"/>
        </w:rPr>
      </w:pPr>
      <w:r>
        <w:rPr>
          <w:rFonts w:hint="eastAsia" w:ascii="宋体" w:hAnsi="宋体" w:eastAsia="宋体" w:cs="宋体"/>
          <w:sz w:val="24"/>
          <w:szCs w:val="24"/>
        </w:rPr>
        <w:t>11.输入/输出点应能灵活配置，满足不同的控制需要，每个控制单元监控点数须至少预留有10%的余量；</w:t>
      </w:r>
    </w:p>
    <w:p>
      <w:pPr>
        <w:spacing w:line="360" w:lineRule="auto"/>
        <w:rPr>
          <w:rFonts w:ascii="宋体" w:hAnsi="宋体" w:eastAsia="宋体" w:cs="宋体"/>
          <w:sz w:val="24"/>
          <w:szCs w:val="24"/>
        </w:rPr>
      </w:pPr>
      <w:r>
        <w:rPr>
          <w:rFonts w:hint="eastAsia" w:ascii="宋体" w:hAnsi="宋体" w:eastAsia="宋体" w:cs="宋体"/>
          <w:sz w:val="24"/>
          <w:szCs w:val="24"/>
        </w:rPr>
        <w:t>12.当控制单元本身故障时，能自动旁路脱离网络，并在工作站上及时报警并显示，不致影响整个网络的正常工作；</w:t>
      </w:r>
    </w:p>
    <w:p>
      <w:pPr>
        <w:spacing w:line="360" w:lineRule="auto"/>
        <w:rPr>
          <w:rFonts w:ascii="宋体" w:hAnsi="宋体" w:eastAsia="宋体" w:cs="宋体"/>
          <w:sz w:val="24"/>
          <w:szCs w:val="24"/>
        </w:rPr>
      </w:pPr>
      <w:r>
        <w:rPr>
          <w:rFonts w:hint="eastAsia" w:ascii="宋体" w:hAnsi="宋体" w:eastAsia="宋体" w:cs="宋体"/>
          <w:sz w:val="24"/>
          <w:szCs w:val="24"/>
        </w:rPr>
        <w:t>13.控制单元操作通信接口应可方便现场编程或修改控制参数，编程或修改时须不影响其它控制单元和整个网络的正常运行；</w:t>
      </w:r>
    </w:p>
    <w:p>
      <w:pPr>
        <w:spacing w:line="360" w:lineRule="auto"/>
        <w:rPr>
          <w:rFonts w:ascii="宋体" w:hAnsi="宋体" w:eastAsia="宋体" w:cs="宋体"/>
          <w:sz w:val="24"/>
          <w:szCs w:val="24"/>
        </w:rPr>
      </w:pPr>
      <w:r>
        <w:rPr>
          <w:rFonts w:hint="eastAsia" w:ascii="宋体" w:hAnsi="宋体" w:eastAsia="宋体" w:cs="宋体"/>
          <w:sz w:val="24"/>
          <w:szCs w:val="24"/>
        </w:rPr>
        <w:t>14.控制单元可根据主控计算机发来的命令和数据，再根据现场各种执行器和传感器反馈的数据和状态对受控设备进行监控；</w:t>
      </w:r>
    </w:p>
    <w:p>
      <w:pPr>
        <w:spacing w:line="360" w:lineRule="auto"/>
        <w:rPr>
          <w:rFonts w:ascii="宋体" w:hAnsi="宋体" w:eastAsia="宋体" w:cs="宋体"/>
          <w:sz w:val="24"/>
          <w:szCs w:val="24"/>
        </w:rPr>
      </w:pPr>
      <w:r>
        <w:rPr>
          <w:rFonts w:hint="eastAsia" w:ascii="宋体" w:hAnsi="宋体" w:eastAsia="宋体" w:cs="宋体"/>
          <w:sz w:val="24"/>
          <w:szCs w:val="24"/>
        </w:rPr>
        <w:t>15.控制单元自身须具有断电、通讯中断、误操作等保护功能，电力恢复时可再次自启动；</w:t>
      </w:r>
    </w:p>
    <w:p>
      <w:pPr>
        <w:spacing w:line="360" w:lineRule="auto"/>
        <w:rPr>
          <w:rFonts w:ascii="宋体" w:hAnsi="宋体" w:eastAsia="宋体" w:cs="宋体"/>
          <w:sz w:val="24"/>
          <w:szCs w:val="24"/>
        </w:rPr>
      </w:pPr>
      <w:r>
        <w:rPr>
          <w:rFonts w:hint="eastAsia" w:ascii="宋体" w:hAnsi="宋体" w:eastAsia="宋体" w:cs="宋体"/>
          <w:sz w:val="24"/>
          <w:szCs w:val="24"/>
        </w:rPr>
        <w:t>16.就地控制单元输入/输出通道的要求：</w:t>
      </w:r>
    </w:p>
    <w:p>
      <w:pPr>
        <w:spacing w:line="360" w:lineRule="auto"/>
        <w:rPr>
          <w:rFonts w:ascii="宋体" w:hAnsi="宋体" w:eastAsia="宋体" w:cs="宋体"/>
          <w:sz w:val="24"/>
          <w:szCs w:val="24"/>
        </w:rPr>
      </w:pPr>
      <w:r>
        <w:rPr>
          <w:rFonts w:hint="eastAsia" w:ascii="宋体" w:hAnsi="宋体" w:eastAsia="宋体" w:cs="宋体"/>
          <w:sz w:val="24"/>
          <w:szCs w:val="24"/>
        </w:rPr>
        <w:t>17.开关量输入(DI)：DI输入的是干接点信号，要求采用抗干扰设计；</w:t>
      </w:r>
    </w:p>
    <w:p>
      <w:pPr>
        <w:spacing w:line="360" w:lineRule="auto"/>
        <w:rPr>
          <w:rFonts w:ascii="宋体" w:hAnsi="宋体" w:eastAsia="宋体" w:cs="宋体"/>
          <w:sz w:val="24"/>
          <w:szCs w:val="24"/>
        </w:rPr>
      </w:pPr>
      <w:r>
        <w:rPr>
          <w:rFonts w:hint="eastAsia" w:ascii="宋体" w:hAnsi="宋体" w:eastAsia="宋体" w:cs="宋体"/>
          <w:sz w:val="24"/>
          <w:szCs w:val="24"/>
        </w:rPr>
        <w:t>18.开关量输出(DO)：采用继电器输出(即干接点)的方式，要求采用抗干扰设计，能隔离交流220V；</w:t>
      </w:r>
    </w:p>
    <w:p>
      <w:pPr>
        <w:spacing w:line="360" w:lineRule="auto"/>
        <w:rPr>
          <w:rFonts w:ascii="宋体" w:hAnsi="宋体" w:eastAsia="宋体" w:cs="宋体"/>
          <w:sz w:val="24"/>
          <w:szCs w:val="24"/>
        </w:rPr>
      </w:pPr>
      <w:r>
        <w:rPr>
          <w:rFonts w:hint="eastAsia" w:ascii="宋体" w:hAnsi="宋体" w:eastAsia="宋体" w:cs="宋体"/>
          <w:sz w:val="24"/>
          <w:szCs w:val="24"/>
        </w:rPr>
        <w:t>模拟量输入(AI)：模拟量输入通道A/D转换分辨率≥8bit，模拟输入模块应能通过软件设置和硬件跳线相结合的方法改变量程范围和输入信号形式(DC 4~20mA或0~10V)，并能进行线性化和滤波设定；</w:t>
      </w:r>
    </w:p>
    <w:p>
      <w:pPr>
        <w:spacing w:line="360" w:lineRule="auto"/>
        <w:rPr>
          <w:rFonts w:ascii="宋体" w:hAnsi="宋体" w:eastAsia="宋体" w:cs="宋体"/>
          <w:sz w:val="24"/>
          <w:szCs w:val="24"/>
        </w:rPr>
      </w:pPr>
      <w:r>
        <w:rPr>
          <w:rFonts w:hint="eastAsia" w:ascii="宋体" w:hAnsi="宋体" w:eastAsia="宋体" w:cs="宋体"/>
          <w:sz w:val="24"/>
          <w:szCs w:val="24"/>
        </w:rPr>
        <w:t>模拟量输出(AO)：模拟量输出通道D/A转换分辨率≥8bit。模拟输出模块应能通过软件设置和硬件跳线相结合的方法改变输出范围和输出信号形式(DC 4~20mA或0~10V)；</w:t>
      </w:r>
    </w:p>
    <w:p>
      <w:pPr>
        <w:spacing w:line="360" w:lineRule="auto"/>
        <w:rPr>
          <w:rFonts w:ascii="宋体" w:hAnsi="宋体" w:eastAsia="宋体" w:cs="宋体"/>
          <w:sz w:val="24"/>
          <w:szCs w:val="24"/>
        </w:rPr>
      </w:pPr>
      <w:r>
        <w:rPr>
          <w:rFonts w:hint="eastAsia" w:ascii="宋体" w:hAnsi="宋体" w:eastAsia="宋体" w:cs="宋体"/>
          <w:sz w:val="24"/>
          <w:szCs w:val="24"/>
        </w:rPr>
        <w:t>为避免某一就地控制单元出现保障时，陷于瘫痪的监控内容过多，就地控制单元的硬线点不能大于100点；</w:t>
      </w:r>
    </w:p>
    <w:p>
      <w:pPr>
        <w:spacing w:line="360" w:lineRule="auto"/>
        <w:rPr>
          <w:rFonts w:ascii="宋体" w:hAnsi="宋体" w:eastAsia="宋体" w:cs="宋体"/>
          <w:sz w:val="24"/>
          <w:szCs w:val="24"/>
        </w:rPr>
      </w:pPr>
      <w:r>
        <w:rPr>
          <w:rFonts w:hint="eastAsia" w:ascii="宋体" w:hAnsi="宋体" w:eastAsia="宋体" w:cs="宋体"/>
          <w:sz w:val="24"/>
          <w:szCs w:val="24"/>
        </w:rPr>
        <w:t>所有220Vac必须通过中间继电器连接至就地控制单元；</w:t>
      </w:r>
    </w:p>
    <w:p>
      <w:pPr>
        <w:spacing w:line="360" w:lineRule="auto"/>
        <w:rPr>
          <w:rFonts w:ascii="宋体" w:hAnsi="宋体" w:eastAsia="宋体" w:cs="宋体"/>
          <w:sz w:val="24"/>
          <w:szCs w:val="24"/>
        </w:rPr>
      </w:pPr>
      <w:r>
        <w:rPr>
          <w:rFonts w:hint="eastAsia" w:ascii="宋体" w:hAnsi="宋体" w:eastAsia="宋体" w:cs="宋体"/>
          <w:sz w:val="24"/>
          <w:szCs w:val="24"/>
        </w:rPr>
        <w:t>配置的控制单元与I/O模块需具有10%的余量，以便以后系统的扩展；</w:t>
      </w:r>
    </w:p>
    <w:p>
      <w:pPr>
        <w:spacing w:line="360" w:lineRule="auto"/>
        <w:rPr>
          <w:rFonts w:ascii="宋体" w:hAnsi="宋体" w:eastAsia="宋体" w:cs="宋体"/>
          <w:sz w:val="24"/>
          <w:szCs w:val="24"/>
        </w:rPr>
      </w:pPr>
      <w:r>
        <w:rPr>
          <w:rFonts w:hint="eastAsia" w:ascii="宋体" w:hAnsi="宋体" w:eastAsia="宋体" w:cs="宋体"/>
          <w:sz w:val="24"/>
          <w:szCs w:val="24"/>
        </w:rPr>
        <w:t>2）变频器</w:t>
      </w:r>
      <w:bookmarkEnd w:id="167"/>
    </w:p>
    <w:p>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变频器是采用正弦波PWM控制方式的变频器，低速额定转矩输出，超静音稳定运行，内置PID功能可以方便地实现PID闭环控制，也可以采用数字化可编程方式运行，通过RS-485计算机网络接口及监控运行软件，可方便实现计算机的联网运行，修改变频器的功能参数，控制变频器启动停止，监视其运行状态，实现实时保护，高可靠运行，并显示简明的故障诊断信息，帮助用户确定故障原因节能运行可以最大限度地提高电机功率因数和电机效率。</w:t>
      </w:r>
    </w:p>
    <w:p>
      <w:pPr>
        <w:pStyle w:val="22"/>
        <w:spacing w:line="360" w:lineRule="auto"/>
        <w:ind w:firstLine="0"/>
        <w:rPr>
          <w:rFonts w:ascii="宋体" w:hAnsi="宋体" w:cs="宋体"/>
          <w:kern w:val="0"/>
          <w:szCs w:val="24"/>
        </w:rPr>
      </w:pPr>
      <w:r>
        <w:rPr>
          <w:rFonts w:hint="eastAsia" w:ascii="宋体" w:hAnsi="宋体" w:cs="宋体"/>
          <w:kern w:val="0"/>
          <w:szCs w:val="24"/>
        </w:rPr>
        <w:t>3）压差开关</w:t>
      </w:r>
    </w:p>
    <w:p>
      <w:pPr>
        <w:pStyle w:val="19"/>
        <w:spacing w:line="360" w:lineRule="auto"/>
        <w:rPr>
          <w:rFonts w:hAnsi="宋体" w:eastAsia="宋体" w:cs="宋体"/>
          <w:b w:val="0"/>
          <w:bCs/>
          <w:lang w:val="en-US"/>
        </w:rPr>
      </w:pPr>
      <w:r>
        <w:rPr>
          <w:rFonts w:hint="eastAsia" w:hAnsi="宋体" w:eastAsia="宋体" w:cs="宋体"/>
          <w:b w:val="0"/>
          <w:bCs/>
          <w:lang w:val="en-US"/>
        </w:rPr>
        <w:t>1.测量范围压力：50～500pa；</w:t>
      </w:r>
    </w:p>
    <w:p>
      <w:pPr>
        <w:pStyle w:val="19"/>
        <w:spacing w:line="360" w:lineRule="auto"/>
        <w:rPr>
          <w:rFonts w:hAnsi="宋体" w:eastAsia="宋体" w:cs="宋体"/>
          <w:b w:val="0"/>
          <w:bCs/>
          <w:lang w:val="en-US"/>
        </w:rPr>
      </w:pPr>
      <w:r>
        <w:rPr>
          <w:rFonts w:hint="eastAsia" w:hAnsi="宋体" w:eastAsia="宋体" w:cs="宋体"/>
          <w:b w:val="0"/>
          <w:bCs/>
          <w:lang w:val="en-US"/>
        </w:rPr>
        <w:t>2.数字输出：1-路 隔离触点，触点切换；</w:t>
      </w:r>
    </w:p>
    <w:p>
      <w:pPr>
        <w:pStyle w:val="19"/>
        <w:spacing w:line="360" w:lineRule="auto"/>
        <w:rPr>
          <w:rFonts w:hAnsi="宋体" w:eastAsia="宋体" w:cs="宋体"/>
          <w:b w:val="0"/>
          <w:bCs/>
          <w:lang w:val="en-US"/>
        </w:rPr>
      </w:pPr>
      <w:r>
        <w:rPr>
          <w:rFonts w:hint="eastAsia" w:hAnsi="宋体" w:eastAsia="宋体" w:cs="宋体"/>
          <w:b w:val="0"/>
          <w:bCs/>
          <w:lang w:val="en-US"/>
        </w:rPr>
        <w:t>3.许用电压：DC24V/AC24V  250V；</w:t>
      </w:r>
    </w:p>
    <w:p>
      <w:pPr>
        <w:pStyle w:val="19"/>
        <w:spacing w:line="360" w:lineRule="auto"/>
        <w:rPr>
          <w:rFonts w:hAnsi="宋体" w:eastAsia="宋体" w:cs="宋体"/>
          <w:b w:val="0"/>
          <w:bCs/>
          <w:lang w:val="en-US"/>
        </w:rPr>
      </w:pPr>
      <w:r>
        <w:rPr>
          <w:rFonts w:hint="eastAsia" w:hAnsi="宋体" w:eastAsia="宋体" w:cs="宋体"/>
          <w:b w:val="0"/>
          <w:bCs/>
          <w:lang w:val="en-US"/>
        </w:rPr>
        <w:t>4.许用电流：0.01～5A ；允许工作压力：5000pa</w:t>
      </w:r>
    </w:p>
    <w:p>
      <w:pPr>
        <w:pStyle w:val="19"/>
        <w:spacing w:line="360" w:lineRule="auto"/>
        <w:rPr>
          <w:rFonts w:hAnsi="宋体" w:eastAsia="宋体" w:cs="宋体"/>
          <w:b w:val="0"/>
          <w:bCs/>
          <w:lang w:val="en-US"/>
        </w:rPr>
      </w:pPr>
      <w:r>
        <w:rPr>
          <w:rFonts w:hint="eastAsia" w:hAnsi="宋体" w:eastAsia="宋体" w:cs="宋体"/>
          <w:b w:val="0"/>
          <w:bCs/>
          <w:lang w:val="en-US"/>
        </w:rPr>
        <w:t>5.环境温度：-20～85℃；防护等级：IP54；</w:t>
      </w:r>
    </w:p>
    <w:p>
      <w:pPr>
        <w:spacing w:line="360" w:lineRule="auto"/>
        <w:rPr>
          <w:rFonts w:ascii="宋体" w:hAnsi="宋体" w:eastAsia="宋体" w:cs="宋体"/>
          <w:sz w:val="24"/>
          <w:szCs w:val="24"/>
        </w:rPr>
      </w:pPr>
      <w:r>
        <w:rPr>
          <w:rFonts w:hint="eastAsia" w:ascii="宋体" w:hAnsi="宋体" w:eastAsia="宋体" w:cs="宋体"/>
          <w:sz w:val="24"/>
          <w:szCs w:val="24"/>
        </w:rPr>
        <w:t xml:space="preserve">4）管道静压差传感器 </w:t>
      </w:r>
    </w:p>
    <w:p>
      <w:pPr>
        <w:pStyle w:val="38"/>
        <w:autoSpaceDE w:val="0"/>
        <w:autoSpaceDN w:val="0"/>
        <w:spacing w:line="360" w:lineRule="auto"/>
        <w:ind w:left="409" w:leftChars="186" w:firstLine="0" w:firstLineChars="0"/>
        <w:rPr>
          <w:rFonts w:ascii="宋体" w:hAnsi="宋体" w:eastAsia="宋体" w:cs="宋体"/>
          <w:sz w:val="24"/>
          <w:szCs w:val="24"/>
        </w:rPr>
      </w:pPr>
      <w:r>
        <w:rPr>
          <w:rFonts w:hint="eastAsia" w:ascii="宋体" w:hAnsi="宋体" w:eastAsia="宋体" w:cs="宋体"/>
          <w:sz w:val="24"/>
          <w:szCs w:val="24"/>
        </w:rPr>
        <w:t>1.风管静压采用空气压差传感器方式测量；</w:t>
      </w:r>
    </w:p>
    <w:p>
      <w:pPr>
        <w:pStyle w:val="38"/>
        <w:autoSpaceDE w:val="0"/>
        <w:autoSpaceDN w:val="0"/>
        <w:spacing w:line="360" w:lineRule="auto"/>
        <w:ind w:left="409" w:leftChars="186" w:firstLine="0" w:firstLineChars="0"/>
        <w:rPr>
          <w:rFonts w:ascii="宋体" w:hAnsi="宋体" w:eastAsia="宋体" w:cs="宋体"/>
          <w:sz w:val="24"/>
          <w:szCs w:val="24"/>
        </w:rPr>
      </w:pPr>
      <w:r>
        <w:rPr>
          <w:rFonts w:hint="eastAsia" w:ascii="宋体" w:hAnsi="宋体" w:eastAsia="宋体" w:cs="宋体"/>
          <w:sz w:val="24"/>
          <w:szCs w:val="24"/>
        </w:rPr>
        <w:t>2.测量精度不低于±1％；</w:t>
      </w:r>
    </w:p>
    <w:p>
      <w:pPr>
        <w:pStyle w:val="38"/>
        <w:autoSpaceDE w:val="0"/>
        <w:autoSpaceDN w:val="0"/>
        <w:spacing w:line="360" w:lineRule="auto"/>
        <w:ind w:left="409" w:leftChars="186" w:firstLine="0" w:firstLineChars="0"/>
        <w:rPr>
          <w:rFonts w:ascii="宋体" w:hAnsi="宋体" w:eastAsia="宋体" w:cs="宋体"/>
          <w:sz w:val="24"/>
          <w:szCs w:val="24"/>
        </w:rPr>
      </w:pPr>
      <w:r>
        <w:rPr>
          <w:rFonts w:hint="eastAsia" w:ascii="宋体" w:hAnsi="宋体" w:eastAsia="宋体" w:cs="宋体"/>
          <w:sz w:val="24"/>
          <w:szCs w:val="24"/>
        </w:rPr>
        <w:t>3.量程应按空调器机外余压数据选取（一般为0~1000Pa）；</w:t>
      </w:r>
    </w:p>
    <w:p>
      <w:pPr>
        <w:pStyle w:val="38"/>
        <w:autoSpaceDE w:val="0"/>
        <w:autoSpaceDN w:val="0"/>
        <w:spacing w:line="360" w:lineRule="auto"/>
        <w:ind w:left="409" w:leftChars="186" w:firstLine="0" w:firstLineChars="0"/>
        <w:rPr>
          <w:rFonts w:ascii="宋体" w:hAnsi="宋体" w:eastAsia="宋体" w:cs="宋体"/>
          <w:sz w:val="24"/>
          <w:szCs w:val="24"/>
        </w:rPr>
      </w:pPr>
      <w:r>
        <w:rPr>
          <w:rFonts w:hint="eastAsia" w:ascii="宋体" w:hAnsi="宋体" w:eastAsia="宋体" w:cs="宋体"/>
          <w:sz w:val="24"/>
          <w:szCs w:val="24"/>
        </w:rPr>
        <w:t>4.防护等级≥IP54；</w:t>
      </w:r>
    </w:p>
    <w:p>
      <w:pPr>
        <w:pStyle w:val="38"/>
        <w:autoSpaceDE w:val="0"/>
        <w:autoSpaceDN w:val="0"/>
        <w:spacing w:line="360" w:lineRule="auto"/>
        <w:ind w:left="409" w:leftChars="186" w:firstLine="0" w:firstLineChars="0"/>
        <w:rPr>
          <w:rFonts w:ascii="宋体" w:hAnsi="宋体" w:eastAsia="宋体" w:cs="宋体"/>
          <w:sz w:val="24"/>
          <w:szCs w:val="24"/>
        </w:rPr>
      </w:pPr>
      <w:r>
        <w:rPr>
          <w:rFonts w:hint="eastAsia" w:ascii="宋体" w:hAnsi="宋体" w:eastAsia="宋体" w:cs="宋体"/>
          <w:sz w:val="24"/>
          <w:szCs w:val="24"/>
        </w:rPr>
        <w:t>5.电压AC24V或DC24V±15％；</w:t>
      </w:r>
    </w:p>
    <w:p>
      <w:pPr>
        <w:pStyle w:val="38"/>
        <w:autoSpaceDE w:val="0"/>
        <w:autoSpaceDN w:val="0"/>
        <w:spacing w:line="360" w:lineRule="auto"/>
        <w:ind w:left="409" w:leftChars="186" w:firstLine="0" w:firstLineChars="0"/>
        <w:rPr>
          <w:rFonts w:ascii="宋体" w:hAnsi="宋体" w:eastAsia="宋体" w:cs="宋体"/>
          <w:sz w:val="24"/>
          <w:szCs w:val="24"/>
        </w:rPr>
      </w:pPr>
      <w:r>
        <w:rPr>
          <w:rFonts w:hint="eastAsia" w:ascii="宋体" w:hAnsi="宋体" w:eastAsia="宋体" w:cs="宋体"/>
          <w:sz w:val="24"/>
          <w:szCs w:val="24"/>
        </w:rPr>
        <w:t>6.输出信号4～20mA DC或0～10VDC；</w:t>
      </w:r>
    </w:p>
    <w:p>
      <w:pPr>
        <w:pStyle w:val="38"/>
        <w:autoSpaceDE w:val="0"/>
        <w:autoSpaceDN w:val="0"/>
        <w:spacing w:line="360" w:lineRule="auto"/>
        <w:ind w:firstLine="0" w:firstLineChars="0"/>
        <w:rPr>
          <w:rFonts w:ascii="宋体" w:hAnsi="宋体" w:eastAsia="宋体" w:cs="宋体"/>
          <w:sz w:val="24"/>
          <w:szCs w:val="24"/>
        </w:rPr>
      </w:pPr>
      <w:r>
        <w:rPr>
          <w:rFonts w:hint="eastAsia" w:ascii="宋体" w:hAnsi="宋体" w:eastAsia="宋体" w:cs="宋体"/>
          <w:sz w:val="24"/>
          <w:szCs w:val="24"/>
        </w:rPr>
        <w:t>5）人机界面</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1.高清LCD液晶触摸显示屏</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 xml:space="preserve">2.工作温度 ：-10~60℃ </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3.存储温度 ：-20~70℃</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4. 支持视频，音频播放</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5. 自带物联网功能，支持云边协同</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6. 支持HMI和PLC程序远程下载</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7. 支持VNC功能</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8. 支持手机APP</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9. 支持摄像头连接</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10. 吸附式安装，支持单人操作，方便手动拆卸维护</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11. 液晶可视角度（T/B/L/R）：85'/85'/85'/85'</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12. 分辨率：800*1280</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13.额定电压：DC 24V</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14.一路10M/100M以太网接口，三路串行通讯端口</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15.机械结构：铝合金外框</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16.内置4G模组</w:t>
      </w:r>
    </w:p>
    <w:p>
      <w:pPr>
        <w:pStyle w:val="38"/>
        <w:autoSpaceDE w:val="0"/>
        <w:autoSpaceDN w:val="0"/>
        <w:spacing w:line="360" w:lineRule="auto"/>
        <w:ind w:left="440" w:leftChars="200" w:firstLine="0" w:firstLineChars="0"/>
        <w:rPr>
          <w:rFonts w:ascii="宋体" w:hAnsi="宋体" w:eastAsia="宋体" w:cs="宋体"/>
          <w:sz w:val="24"/>
          <w:szCs w:val="24"/>
        </w:rPr>
      </w:pPr>
      <w:r>
        <w:rPr>
          <w:rFonts w:hint="eastAsia" w:ascii="宋体" w:hAnsi="宋体" w:eastAsia="宋体" w:cs="宋体"/>
          <w:sz w:val="24"/>
          <w:szCs w:val="24"/>
        </w:rPr>
        <w:t>17.开孔尺寸：192mm*138mm</w:t>
      </w:r>
    </w:p>
    <w:p>
      <w:pPr>
        <w:pStyle w:val="38"/>
        <w:autoSpaceDE w:val="0"/>
        <w:autoSpaceDN w:val="0"/>
        <w:spacing w:line="360" w:lineRule="auto"/>
        <w:ind w:left="440" w:leftChars="200" w:firstLine="0" w:firstLineChars="0"/>
        <w:jc w:val="center"/>
        <w:rPr>
          <w:rFonts w:ascii="宋体" w:hAnsi="宋体" w:eastAsia="宋体" w:cs="宋体"/>
          <w:b/>
          <w:bCs/>
          <w:color w:val="000000"/>
          <w:sz w:val="24"/>
          <w:szCs w:val="24"/>
        </w:rPr>
      </w:pPr>
      <w:r>
        <w:rPr>
          <w:rFonts w:hint="eastAsia" w:ascii="宋体" w:hAnsi="宋体" w:eastAsia="宋体" w:cs="宋体"/>
          <w:b/>
          <w:bCs/>
          <w:color w:val="000000"/>
          <w:sz w:val="28"/>
          <w:szCs w:val="28"/>
        </w:rPr>
        <w:t>实验室家具及自控系统清单</w:t>
      </w:r>
    </w:p>
    <w:tbl>
      <w:tblPr>
        <w:tblStyle w:val="23"/>
        <w:tblW w:w="4997" w:type="pct"/>
        <w:tblInd w:w="0" w:type="dxa"/>
        <w:tblLayout w:type="autofit"/>
        <w:tblCellMar>
          <w:top w:w="0" w:type="dxa"/>
          <w:left w:w="108" w:type="dxa"/>
          <w:bottom w:w="0" w:type="dxa"/>
          <w:right w:w="108" w:type="dxa"/>
        </w:tblCellMar>
      </w:tblPr>
      <w:tblGrid>
        <w:gridCol w:w="417"/>
        <w:gridCol w:w="1100"/>
        <w:gridCol w:w="3759"/>
        <w:gridCol w:w="417"/>
        <w:gridCol w:w="716"/>
        <w:gridCol w:w="720"/>
        <w:gridCol w:w="764"/>
        <w:gridCol w:w="624"/>
      </w:tblGrid>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名称</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尺寸(mm)‧型号</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单位</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数量</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单价(RMB)</w:t>
            </w: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合价(RMB)</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rPr>
              <w:t>备注</w:t>
            </w:r>
          </w:p>
        </w:tc>
      </w:tr>
      <w:tr>
        <w:tblPrEx>
          <w:tblCellMar>
            <w:top w:w="0" w:type="dxa"/>
            <w:left w:w="108" w:type="dxa"/>
            <w:bottom w:w="0" w:type="dxa"/>
            <w:right w:w="108" w:type="dxa"/>
          </w:tblCellMar>
        </w:tblPrEx>
        <w:trPr>
          <w:trHeight w:val="439" w:hRule="atLeast"/>
        </w:trPr>
        <w:tc>
          <w:tcPr>
            <w:tcW w:w="30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r>
              <w:rPr>
                <w:rFonts w:hint="eastAsia" w:ascii="宋体" w:hAnsi="宋体" w:eastAsia="宋体" w:cs="宋体"/>
                <w:b/>
                <w:bCs/>
                <w:color w:val="000000"/>
                <w:sz w:val="20"/>
                <w:szCs w:val="20"/>
              </w:rPr>
              <w:t>一、520室家具设备</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31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 </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桌面通风橱</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规格：1280(L) *1500(W)*1550(H)</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a、柜体为武钢、马钢、宝钢等优质 1.2mm厚一级冷轧板制作；金属表面经杜邦品牌环氧树脂塑粉表面静电喷涂、整体具有较强的耐蚀性。▲柜体耐腐蚀性能要求需满足GB24820-2009规定检测。▲柜体环保要求需满足HJ2547-2016《环境标志产品技术要求家具》标准。                             b、内衬板、导流板：采用抗倍特耐腐蚀板材制作，导流板设计使柜内无排风死角，各种比重气体均能顺利排出柜外。顶板：采用模具开模生产的PP整体成型制作，呈锥形设计，风阻小，并有接液槽设计，防止管道内液体回流到柜内；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c、照明、插座：在顶板上配置30WLED 3C认证的照明灯具；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d、上柜左右立柱各有拆卸式安装面板，用于安装插座、控制面板、水阀及气阀控制按钮，拆卸方便配置220V、10A/16A带防水保护盖多功能插座4个。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e、推拉门：设计为双悬式玻璃门，材质为5mm厚钢化玻璃，可上下开启，操作方便灵活，推拉门底部设计有橡胶减振垫块，以减少开关时的冲击。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f、传动：平衡系统有负重块、齿轮，链条等装置同步传动，不超过5磅力就可以升，降移门，移门可以自动降到18”安全操作高度。</w:t>
            </w:r>
          </w:p>
        </w:tc>
        <w:tc>
          <w:tcPr>
            <w:tcW w:w="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3.00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2 </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连接风管</w:t>
            </w: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1.规格：φ315</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2.材质：PP材质</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m</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3.6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5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3 </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吊顶拆除及修复</w:t>
            </w: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原有吊顶局部保护性拆除及修复，含部分损坏吊顶板更换；</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30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r>
              <w:rPr>
                <w:rFonts w:hint="eastAsia" w:ascii="宋体" w:hAnsi="宋体" w:eastAsia="宋体" w:cs="宋体"/>
                <w:b/>
                <w:bCs/>
                <w:color w:val="000000"/>
                <w:sz w:val="20"/>
                <w:szCs w:val="20"/>
              </w:rPr>
              <w:t>二、530室家具设备</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31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 </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桌面通风橱（联通）</w:t>
            </w: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规格：1280(L) *1500(W)*1550(H)</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 xml:space="preserve">a、柜体为武钢、马钢、宝钢等优质 1.2mm厚一级冷轧板制作；金属表面经杜邦品牌环氧树脂塑粉表面静电喷涂、整体具有较强的耐蚀性。                                 b、内衬板、导流板：采用抗倍特耐腐蚀板材制作，导流板设计使柜内无排风死角，各种比重气体均能顺利排出柜外。顶板：采用模具开模生产的PP整体成型制作，呈锥形设计，风阻小，并有接液槽设计，防止管道内液体回流到柜内；                 </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c、照明、插座：在顶板上配置30WLED 3C认证的照明灯具；</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d、上柜左右立柱各有拆卸式安装面板，用于安装插座、控制面板、水阀及气阀控制按钮，拆卸方便配置220V、10A/16A带防水保护盖多功能插座4个。</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e、推拉门：设计为双悬式玻璃门，材质为5mm厚钢化玻璃，可上下开启，操作方便灵活，推拉门底部设计有橡胶减振垫块，以减少开关时的冲击。</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f、传动：平衡系统有负重块、齿轮，链条等装置同步传动，不超过5磅力就可以升，降移门，移门可以自动降到18”安全操作高度。</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6.00 </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2 </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连接风管</w:t>
            </w: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1.规格：φ315</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2.材质：PP材质</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m</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7.2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3 </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通风柜除新：</w:t>
            </w:r>
          </w:p>
        </w:tc>
        <w:tc>
          <w:tcPr>
            <w:tcW w:w="2205"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附件说明</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台</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11.00 </w:t>
            </w:r>
          </w:p>
        </w:tc>
        <w:tc>
          <w:tcPr>
            <w:tcW w:w="42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4 </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水槽柜除新：</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附件说明</w:t>
            </w:r>
          </w:p>
        </w:tc>
        <w:tc>
          <w:tcPr>
            <w:tcW w:w="2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处</w:t>
            </w:r>
          </w:p>
        </w:tc>
        <w:tc>
          <w:tcPr>
            <w:tcW w:w="42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4.00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5 </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吊顶拆除及修复</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原有吊顶局部保护性拆除及修复，含部分损坏吊顶板更换；</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3096"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r>
              <w:rPr>
                <w:rFonts w:hint="eastAsia" w:ascii="宋体" w:hAnsi="宋体" w:eastAsia="宋体" w:cs="宋体"/>
                <w:b/>
                <w:bCs/>
                <w:color w:val="000000"/>
                <w:sz w:val="20"/>
                <w:szCs w:val="20"/>
              </w:rPr>
              <w:t>三、实验室自控系统</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b/>
                <w:bCs/>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bCs/>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通风柜控制系统</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LED液晶显示；支持显示当前阀门状态以提醒用户通风柜使用状态；用户可通过触控进行通风柜启停、照明开关等操作。支持通用Modbus485通讯协议，方便采集上传数据</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9.0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排风机组变频柜</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排风机变频器控制柜，国标定制（含自闭开关、灯、塑壳断路器、交流接触器、热继电器、散热风扇及过滤器）；柜体厚度1.5mm，碳钢材质，RAL7032喷涂；</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排风控制器</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smart200，排风机组控制</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540"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显示终端</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10.1" 全面电容屏，视角85'/85'/85'/85'，800×1280，DC24V，3串口，1以太网，铝合金外框，内置4G模组，支持视频，音频播放，开孔尺寸192*138mm，全面屏，高屏占比</w:t>
            </w:r>
          </w:p>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功能描述： 高清高亮，全视角；支持视频，音频播放；自带物联网功能，支持云边协同；支持HMI和PLC程序远程下载；支持VNC功能；支持手机APP；支持摄像头连接；USB供电方式，程序可批量下载；吸附式安装，支持单人操作</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变频器</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11KW，矢量型排风变频控制器，排风机专业，包含操作面板</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管道压差传感器</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0-1500Pa，DC24V,0-10V电压信号；管道末端安装，排风变频控制信号检测</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7</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压差开关</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0-500Pa，干接点输出；</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720"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8</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手动阀</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1.规格：630*400</w:t>
            </w:r>
            <w:r>
              <w:rPr>
                <w:rFonts w:hint="eastAsia" w:ascii="宋体" w:hAnsi="宋体" w:eastAsia="宋体" w:cs="宋体"/>
                <w:color w:val="000000"/>
                <w:sz w:val="20"/>
                <w:szCs w:val="20"/>
              </w:rPr>
              <w:br w:type="textWrapping"/>
            </w:r>
            <w:r>
              <w:rPr>
                <w:rFonts w:hint="eastAsia" w:ascii="宋体" w:hAnsi="宋体" w:eastAsia="宋体" w:cs="宋体"/>
                <w:color w:val="000000"/>
                <w:sz w:val="20"/>
                <w:szCs w:val="20"/>
              </w:rPr>
              <w:t>2.材质：PP材质，手动调节型</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个</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4.0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ascii="Arial" w:hAnsi="Arial" w:eastAsia="宋体" w:cs="Arial"/>
                <w:color w:val="000000"/>
                <w:sz w:val="20"/>
                <w:szCs w:val="2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9</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线材</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RVV2*1.0mm2</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125.0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10</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网线</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超五类网线</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150.0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11</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线材</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RVVP3*1.0mm2</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100.0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12</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KBG线管</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φ20mm</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100.0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13</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桥架</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200*100mm</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米</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15.0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39"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14</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综合布线及辅材</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自控布线含软管、线管辅材等</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项</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r>
        <w:tblPrEx>
          <w:tblCellMar>
            <w:top w:w="0" w:type="dxa"/>
            <w:left w:w="108" w:type="dxa"/>
            <w:bottom w:w="0" w:type="dxa"/>
            <w:right w:w="108" w:type="dxa"/>
          </w:tblCellMar>
        </w:tblPrEx>
        <w:trPr>
          <w:trHeight w:val="480" w:hRule="atLeast"/>
        </w:trPr>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15</w:t>
            </w:r>
          </w:p>
        </w:tc>
        <w:tc>
          <w:tcPr>
            <w:tcW w:w="6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变频排风系统调试费</w:t>
            </w:r>
          </w:p>
        </w:tc>
        <w:tc>
          <w:tcPr>
            <w:tcW w:w="2205"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0"/>
                <w:szCs w:val="20"/>
              </w:rPr>
            </w:pPr>
            <w:r>
              <w:rPr>
                <w:rFonts w:hint="eastAsia" w:ascii="宋体" w:hAnsi="宋体" w:eastAsia="宋体" w:cs="宋体"/>
                <w:color w:val="000000"/>
                <w:sz w:val="20"/>
                <w:szCs w:val="20"/>
              </w:rPr>
              <w:t>系统编程、调试费用</w:t>
            </w:r>
          </w:p>
        </w:tc>
        <w:tc>
          <w:tcPr>
            <w:tcW w:w="24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套</w:t>
            </w:r>
          </w:p>
        </w:tc>
        <w:tc>
          <w:tcPr>
            <w:tcW w:w="4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 xml:space="preserve">1.0 </w:t>
            </w:r>
          </w:p>
        </w:tc>
        <w:tc>
          <w:tcPr>
            <w:tcW w:w="4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eastAsia="宋体" w:cs="宋体"/>
                <w:color w:val="000000"/>
                <w:sz w:val="20"/>
                <w:szCs w:val="20"/>
              </w:rPr>
            </w:pPr>
          </w:p>
        </w:tc>
        <w:tc>
          <w:tcPr>
            <w:tcW w:w="44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0"/>
                <w:szCs w:val="20"/>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rPr>
            </w:pPr>
          </w:p>
        </w:tc>
      </w:tr>
    </w:tbl>
    <w:p/>
    <w:p>
      <w:pPr>
        <w:rPr>
          <w:rFonts w:ascii="宋体" w:hAnsi="宋体" w:eastAsia="宋体" w:cs="宋体"/>
          <w:b/>
          <w:bCs/>
          <w:sz w:val="24"/>
          <w:szCs w:val="24"/>
        </w:rPr>
      </w:pPr>
      <w:r>
        <w:rPr>
          <w:rFonts w:hint="eastAsia" w:ascii="宋体" w:hAnsi="宋体" w:eastAsia="宋体" w:cs="宋体"/>
          <w:b/>
          <w:bCs/>
          <w:sz w:val="24"/>
          <w:szCs w:val="24"/>
        </w:rPr>
        <w:t>附件：品牌推荐一览表</w:t>
      </w:r>
    </w:p>
    <w:tbl>
      <w:tblPr>
        <w:tblStyle w:val="23"/>
        <w:tblW w:w="8846" w:type="dxa"/>
        <w:jc w:val="center"/>
        <w:tblLayout w:type="fixed"/>
        <w:tblCellMar>
          <w:top w:w="0" w:type="dxa"/>
          <w:left w:w="108" w:type="dxa"/>
          <w:bottom w:w="0" w:type="dxa"/>
          <w:right w:w="108" w:type="dxa"/>
        </w:tblCellMar>
      </w:tblPr>
      <w:tblGrid>
        <w:gridCol w:w="1170"/>
        <w:gridCol w:w="3540"/>
        <w:gridCol w:w="4136"/>
      </w:tblGrid>
      <w:tr>
        <w:tblPrEx>
          <w:tblCellMar>
            <w:top w:w="0" w:type="dxa"/>
            <w:left w:w="108" w:type="dxa"/>
            <w:bottom w:w="0" w:type="dxa"/>
            <w:right w:w="108" w:type="dxa"/>
          </w:tblCellMar>
        </w:tblPrEx>
        <w:trPr>
          <w:trHeight w:val="567" w:hRule="atLeast"/>
          <w:jc w:val="center"/>
        </w:trPr>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jc w:val="center"/>
              <w:rPr>
                <w:rFonts w:ascii="微软雅黑" w:hAnsi="微软雅黑" w:cs="微软雅黑"/>
                <w:b/>
                <w:bCs/>
                <w:szCs w:val="21"/>
              </w:rPr>
            </w:pPr>
            <w:r>
              <w:rPr>
                <w:rFonts w:hint="eastAsia" w:ascii="微软雅黑" w:hAnsi="微软雅黑" w:cs="微软雅黑"/>
                <w:b/>
                <w:bCs/>
                <w:szCs w:val="21"/>
              </w:rPr>
              <w:t>编号</w:t>
            </w:r>
          </w:p>
        </w:tc>
        <w:tc>
          <w:tcPr>
            <w:tcW w:w="354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jc w:val="center"/>
              <w:rPr>
                <w:rFonts w:ascii="微软雅黑" w:hAnsi="微软雅黑" w:cs="微软雅黑"/>
                <w:b/>
                <w:bCs/>
                <w:szCs w:val="21"/>
              </w:rPr>
            </w:pPr>
            <w:r>
              <w:rPr>
                <w:rFonts w:hint="eastAsia" w:ascii="微软雅黑" w:hAnsi="微软雅黑" w:cs="微软雅黑"/>
                <w:b/>
                <w:bCs/>
                <w:szCs w:val="21"/>
              </w:rPr>
              <w:t>材料名称</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jc w:val="center"/>
              <w:rPr>
                <w:rFonts w:ascii="微软雅黑" w:hAnsi="微软雅黑" w:cs="微软雅黑"/>
                <w:b/>
                <w:bCs/>
                <w:szCs w:val="21"/>
              </w:rPr>
            </w:pPr>
            <w:r>
              <w:rPr>
                <w:rFonts w:hint="eastAsia" w:ascii="微软雅黑" w:hAnsi="微软雅黑" w:cs="微软雅黑"/>
                <w:b/>
                <w:bCs/>
                <w:szCs w:val="21"/>
              </w:rPr>
              <w:t>品牌和其他要求</w:t>
            </w:r>
          </w:p>
        </w:tc>
      </w:tr>
      <w:tr>
        <w:tblPrEx>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1</w:t>
            </w:r>
          </w:p>
        </w:tc>
        <w:tc>
          <w:tcPr>
            <w:tcW w:w="354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电缆</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正豪、远东、江南</w:t>
            </w:r>
          </w:p>
        </w:tc>
      </w:tr>
      <w:tr>
        <w:tblPrEx>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2</w:t>
            </w:r>
          </w:p>
        </w:tc>
        <w:tc>
          <w:tcPr>
            <w:tcW w:w="354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开关、插座</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朗能、Siemens、Schneider</w:t>
            </w:r>
          </w:p>
        </w:tc>
      </w:tr>
      <w:tr>
        <w:tblPrEx>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3</w:t>
            </w:r>
          </w:p>
        </w:tc>
        <w:tc>
          <w:tcPr>
            <w:tcW w:w="354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PP风管</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熙城、台翌、金鸿阳</w:t>
            </w:r>
          </w:p>
        </w:tc>
      </w:tr>
      <w:tr>
        <w:tblPrEx>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4</w:t>
            </w:r>
          </w:p>
        </w:tc>
        <w:tc>
          <w:tcPr>
            <w:tcW w:w="354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电动阀/防雨百叶/70℃常开防火阀</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阿斯顿、盈达、上海显隆</w:t>
            </w:r>
          </w:p>
        </w:tc>
      </w:tr>
      <w:tr>
        <w:tblPrEx>
          <w:tblCellMar>
            <w:top w:w="0" w:type="dxa"/>
            <w:left w:w="108" w:type="dxa"/>
            <w:bottom w:w="0" w:type="dxa"/>
            <w:right w:w="108" w:type="dxa"/>
          </w:tblCellMar>
        </w:tblPrEx>
        <w:trPr>
          <w:trHeight w:val="90" w:hRule="atLeast"/>
          <w:jc w:val="center"/>
        </w:trPr>
        <w:tc>
          <w:tcPr>
            <w:tcW w:w="117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5</w:t>
            </w:r>
          </w:p>
        </w:tc>
        <w:tc>
          <w:tcPr>
            <w:tcW w:w="3540"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定制PP手动调节阀</w:t>
            </w:r>
          </w:p>
        </w:tc>
        <w:tc>
          <w:tcPr>
            <w:tcW w:w="4136" w:type="dxa"/>
            <w:tcBorders>
              <w:top w:val="single" w:color="auto" w:sz="4" w:space="0"/>
              <w:left w:val="single" w:color="auto" w:sz="4" w:space="0"/>
              <w:bottom w:val="single" w:color="auto" w:sz="4" w:space="0"/>
              <w:right w:val="single" w:color="auto" w:sz="4" w:space="0"/>
            </w:tcBorders>
            <w:shd w:val="clear" w:color="000000" w:fill="auto"/>
            <w:vAlign w:val="center"/>
          </w:tcPr>
          <w:p>
            <w:pPr>
              <w:spacing w:beforeLines="50" w:afterLines="50" w:line="20" w:lineRule="atLeast"/>
              <w:rPr>
                <w:rFonts w:ascii="微软雅黑" w:hAnsi="微软雅黑" w:cs="微软雅黑"/>
                <w:szCs w:val="21"/>
              </w:rPr>
            </w:pPr>
            <w:r>
              <w:rPr>
                <w:rFonts w:hint="eastAsia" w:ascii="微软雅黑" w:hAnsi="微软雅黑" w:cs="微软雅黑"/>
                <w:szCs w:val="21"/>
              </w:rPr>
              <w:t>山东喜得、华新、煕诚</w:t>
            </w:r>
          </w:p>
        </w:tc>
      </w:tr>
      <w:tr>
        <w:tblPrEx>
          <w:tblCellMar>
            <w:top w:w="0" w:type="dxa"/>
            <w:left w:w="108" w:type="dxa"/>
            <w:bottom w:w="0" w:type="dxa"/>
            <w:right w:w="108" w:type="dxa"/>
          </w:tblCellMar>
        </w:tblPrEx>
        <w:trPr>
          <w:trHeight w:val="567"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jc w:val="center"/>
              <w:rPr>
                <w:rFonts w:ascii="微软雅黑" w:hAnsi="微软雅黑" w:cs="微软雅黑"/>
                <w:color w:val="000000"/>
                <w:szCs w:val="21"/>
              </w:rPr>
            </w:pPr>
            <w:r>
              <w:rPr>
                <w:rFonts w:hint="eastAsia" w:ascii="微软雅黑" w:hAnsi="微软雅黑" w:cs="微软雅黑"/>
                <w:color w:val="000000"/>
                <w:szCs w:val="21"/>
              </w:rPr>
              <w:t>6</w:t>
            </w:r>
          </w:p>
        </w:tc>
        <w:tc>
          <w:tcPr>
            <w:tcW w:w="3540"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rPr>
                <w:rFonts w:ascii="微软雅黑" w:hAnsi="微软雅黑" w:cs="微软雅黑"/>
                <w:color w:val="000000"/>
                <w:szCs w:val="21"/>
              </w:rPr>
            </w:pPr>
            <w:r>
              <w:rPr>
                <w:rFonts w:hint="eastAsia" w:ascii="微软雅黑" w:hAnsi="微软雅黑" w:cs="微软雅黑"/>
                <w:color w:val="000000"/>
                <w:szCs w:val="21"/>
              </w:rPr>
              <w:t>给水管（PPR）</w:t>
            </w:r>
          </w:p>
        </w:tc>
        <w:tc>
          <w:tcPr>
            <w:tcW w:w="4136"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rPr>
                <w:rFonts w:ascii="微软雅黑" w:hAnsi="微软雅黑" w:cs="微软雅黑"/>
                <w:color w:val="000000"/>
                <w:szCs w:val="21"/>
              </w:rPr>
            </w:pPr>
            <w:r>
              <w:rPr>
                <w:rFonts w:hint="eastAsia" w:ascii="微软雅黑" w:hAnsi="微软雅黑" w:cs="微软雅黑"/>
                <w:color w:val="000000"/>
                <w:szCs w:val="21"/>
              </w:rPr>
              <w:t>公元、中财、联塑</w:t>
            </w:r>
          </w:p>
        </w:tc>
      </w:tr>
      <w:tr>
        <w:tblPrEx>
          <w:tblCellMar>
            <w:top w:w="0" w:type="dxa"/>
            <w:left w:w="108" w:type="dxa"/>
            <w:bottom w:w="0" w:type="dxa"/>
            <w:right w:w="108" w:type="dxa"/>
          </w:tblCellMar>
        </w:tblPrEx>
        <w:trPr>
          <w:trHeight w:val="58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7</w:t>
            </w:r>
          </w:p>
        </w:tc>
        <w:tc>
          <w:tcPr>
            <w:tcW w:w="3540"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rPr>
                <w:rFonts w:ascii="微软雅黑" w:hAnsi="微软雅黑" w:cs="微软雅黑"/>
                <w:color w:val="000000"/>
                <w:szCs w:val="21"/>
              </w:rPr>
            </w:pPr>
            <w:r>
              <w:rPr>
                <w:rFonts w:hint="eastAsia" w:ascii="微软雅黑" w:hAnsi="微软雅黑" w:cs="微软雅黑"/>
                <w:color w:val="000000"/>
                <w:szCs w:val="21"/>
              </w:rPr>
              <w:t>污废水管（PPH）耐酸碱腐蚀耐有机</w:t>
            </w:r>
          </w:p>
        </w:tc>
        <w:tc>
          <w:tcPr>
            <w:tcW w:w="4136"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rPr>
                <w:rFonts w:ascii="微软雅黑" w:hAnsi="微软雅黑" w:cs="微软雅黑"/>
                <w:color w:val="000000"/>
                <w:szCs w:val="21"/>
              </w:rPr>
            </w:pPr>
            <w:r>
              <w:rPr>
                <w:rFonts w:hint="eastAsia" w:ascii="微软雅黑" w:hAnsi="微软雅黑" w:cs="微软雅黑"/>
                <w:color w:val="000000"/>
                <w:szCs w:val="21"/>
              </w:rPr>
              <w:t>公元、中财、联塑</w:t>
            </w:r>
          </w:p>
        </w:tc>
      </w:tr>
      <w:tr>
        <w:tblPrEx>
          <w:tblCellMar>
            <w:top w:w="0" w:type="dxa"/>
            <w:left w:w="108" w:type="dxa"/>
            <w:bottom w:w="0" w:type="dxa"/>
            <w:right w:w="108" w:type="dxa"/>
          </w:tblCellMar>
        </w:tblPrEx>
        <w:trPr>
          <w:trHeight w:val="58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8</w:t>
            </w:r>
          </w:p>
        </w:tc>
        <w:tc>
          <w:tcPr>
            <w:tcW w:w="3540"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rPr>
                <w:rFonts w:ascii="微软雅黑" w:hAnsi="微软雅黑" w:cs="微软雅黑"/>
                <w:szCs w:val="21"/>
              </w:rPr>
            </w:pPr>
            <w:r>
              <w:rPr>
                <w:rFonts w:hint="eastAsia" w:ascii="微软雅黑" w:hAnsi="微软雅黑" w:cs="微软雅黑"/>
                <w:sz w:val="24"/>
              </w:rPr>
              <w:t>低压元器件</w:t>
            </w:r>
          </w:p>
        </w:tc>
        <w:tc>
          <w:tcPr>
            <w:tcW w:w="4136"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rPr>
                <w:rFonts w:ascii="微软雅黑" w:hAnsi="微软雅黑" w:cs="微软雅黑"/>
                <w:szCs w:val="21"/>
              </w:rPr>
            </w:pPr>
            <w:r>
              <w:rPr>
                <w:rFonts w:hint="eastAsia" w:ascii="微软雅黑" w:hAnsi="微软雅黑" w:cs="微软雅黑"/>
                <w:color w:val="000000"/>
                <w:szCs w:val="21"/>
              </w:rPr>
              <w:t>正泰、施耐德、ABB</w:t>
            </w:r>
          </w:p>
        </w:tc>
      </w:tr>
      <w:tr>
        <w:tblPrEx>
          <w:tblCellMar>
            <w:top w:w="0" w:type="dxa"/>
            <w:left w:w="108" w:type="dxa"/>
            <w:bottom w:w="0" w:type="dxa"/>
            <w:right w:w="108" w:type="dxa"/>
          </w:tblCellMar>
        </w:tblPrEx>
        <w:trPr>
          <w:trHeight w:val="58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9</w:t>
            </w:r>
          </w:p>
        </w:tc>
        <w:tc>
          <w:tcPr>
            <w:tcW w:w="3540"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微软雅黑"/>
                <w:sz w:val="24"/>
              </w:rPr>
            </w:pPr>
            <w:r>
              <w:rPr>
                <w:rFonts w:hint="eastAsia" w:ascii="微软雅黑" w:hAnsi="微软雅黑" w:cs="微软雅黑"/>
                <w:sz w:val="24"/>
              </w:rPr>
              <w:t>变频器</w:t>
            </w:r>
          </w:p>
        </w:tc>
        <w:tc>
          <w:tcPr>
            <w:tcW w:w="41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微软雅黑"/>
                <w:bCs/>
                <w:sz w:val="24"/>
                <w:szCs w:val="28"/>
              </w:rPr>
            </w:pPr>
            <w:r>
              <w:rPr>
                <w:rFonts w:hint="eastAsia" w:ascii="微软雅黑" w:hAnsi="微软雅黑" w:cs="微软雅黑"/>
                <w:color w:val="000000"/>
                <w:szCs w:val="21"/>
              </w:rPr>
              <w:t>施耐德、ABB、西门子</w:t>
            </w:r>
          </w:p>
        </w:tc>
      </w:tr>
      <w:tr>
        <w:tblPrEx>
          <w:tblCellMar>
            <w:top w:w="0" w:type="dxa"/>
            <w:left w:w="108" w:type="dxa"/>
            <w:bottom w:w="0" w:type="dxa"/>
            <w:right w:w="108" w:type="dxa"/>
          </w:tblCellMar>
        </w:tblPrEx>
        <w:trPr>
          <w:trHeight w:val="58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10</w:t>
            </w:r>
          </w:p>
        </w:tc>
        <w:tc>
          <w:tcPr>
            <w:tcW w:w="3540"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微软雅黑"/>
                <w:color w:val="000000"/>
                <w:szCs w:val="21"/>
              </w:rPr>
            </w:pPr>
            <w:r>
              <w:rPr>
                <w:rFonts w:hint="eastAsia" w:ascii="微软雅黑" w:hAnsi="微软雅黑" w:cs="微软雅黑"/>
                <w:sz w:val="24"/>
              </w:rPr>
              <w:t>压差开关、压差传感器、控制器等</w:t>
            </w:r>
          </w:p>
        </w:tc>
        <w:tc>
          <w:tcPr>
            <w:tcW w:w="41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微软雅黑"/>
                <w:color w:val="000000"/>
                <w:szCs w:val="21"/>
              </w:rPr>
            </w:pPr>
            <w:r>
              <w:rPr>
                <w:rFonts w:hint="eastAsia" w:ascii="微软雅黑" w:hAnsi="微软雅黑" w:cs="微软雅黑"/>
                <w:bCs/>
                <w:sz w:val="24"/>
                <w:szCs w:val="28"/>
              </w:rPr>
              <w:t>Siemens、Dwyer、E+E</w:t>
            </w:r>
          </w:p>
        </w:tc>
      </w:tr>
      <w:tr>
        <w:tblPrEx>
          <w:tblCellMar>
            <w:top w:w="0" w:type="dxa"/>
            <w:left w:w="108" w:type="dxa"/>
            <w:bottom w:w="0" w:type="dxa"/>
            <w:right w:w="108" w:type="dxa"/>
          </w:tblCellMar>
        </w:tblPrEx>
        <w:trPr>
          <w:trHeight w:val="580" w:hRule="atLeast"/>
          <w:jc w:val="center"/>
        </w:trPr>
        <w:tc>
          <w:tcPr>
            <w:tcW w:w="1170" w:type="dxa"/>
            <w:tcBorders>
              <w:top w:val="single" w:color="auto" w:sz="4" w:space="0"/>
              <w:left w:val="single" w:color="auto" w:sz="4" w:space="0"/>
              <w:bottom w:val="single" w:color="auto" w:sz="4" w:space="0"/>
              <w:right w:val="single" w:color="auto" w:sz="4" w:space="0"/>
            </w:tcBorders>
            <w:vAlign w:val="center"/>
          </w:tcPr>
          <w:p>
            <w:pPr>
              <w:spacing w:beforeLines="50" w:afterLines="50" w:line="20" w:lineRule="atLeast"/>
              <w:jc w:val="center"/>
              <w:rPr>
                <w:rFonts w:ascii="微软雅黑" w:hAnsi="微软雅黑" w:cs="微软雅黑"/>
                <w:szCs w:val="21"/>
              </w:rPr>
            </w:pPr>
            <w:r>
              <w:rPr>
                <w:rFonts w:hint="eastAsia" w:ascii="微软雅黑" w:hAnsi="微软雅黑" w:cs="微软雅黑"/>
                <w:szCs w:val="21"/>
              </w:rPr>
              <w:t>11</w:t>
            </w:r>
          </w:p>
        </w:tc>
        <w:tc>
          <w:tcPr>
            <w:tcW w:w="3540"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微软雅黑"/>
                <w:sz w:val="24"/>
              </w:rPr>
            </w:pPr>
            <w:r>
              <w:rPr>
                <w:rFonts w:hint="eastAsia" w:ascii="微软雅黑" w:hAnsi="微软雅黑" w:cs="微软雅黑"/>
                <w:sz w:val="24"/>
              </w:rPr>
              <w:t>人机界面</w:t>
            </w:r>
          </w:p>
        </w:tc>
        <w:tc>
          <w:tcPr>
            <w:tcW w:w="4136" w:type="dxa"/>
            <w:tcBorders>
              <w:top w:val="single" w:color="auto" w:sz="4" w:space="0"/>
              <w:left w:val="single" w:color="auto" w:sz="4" w:space="0"/>
              <w:bottom w:val="single" w:color="auto" w:sz="4" w:space="0"/>
              <w:right w:val="single" w:color="auto" w:sz="4" w:space="0"/>
            </w:tcBorders>
            <w:vAlign w:val="center"/>
          </w:tcPr>
          <w:p>
            <w:pPr>
              <w:rPr>
                <w:rFonts w:ascii="微软雅黑" w:hAnsi="微软雅黑" w:cs="微软雅黑"/>
                <w:color w:val="000000"/>
                <w:szCs w:val="21"/>
              </w:rPr>
            </w:pPr>
            <w:r>
              <w:rPr>
                <w:rFonts w:hint="eastAsia" w:ascii="微软雅黑" w:hAnsi="微软雅黑" w:cs="微软雅黑"/>
                <w:color w:val="000000"/>
                <w:szCs w:val="21"/>
              </w:rPr>
              <w:t>繁易、研华、汇川</w:t>
            </w:r>
          </w:p>
        </w:tc>
      </w:tr>
    </w:tbl>
    <w:p>
      <w:pPr>
        <w:pStyle w:val="2"/>
        <w:ind w:firstLine="0" w:firstLineChars="0"/>
      </w:pPr>
    </w:p>
    <w:p>
      <w:pPr>
        <w:pStyle w:val="38"/>
        <w:spacing w:line="360" w:lineRule="auto"/>
        <w:ind w:firstLine="482"/>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二、服务要求</w:t>
      </w:r>
    </w:p>
    <w:p>
      <w:pPr>
        <w:pStyle w:val="32"/>
      </w:pPr>
      <w:r>
        <w:rPr>
          <w:rFonts w:hint="eastAsia"/>
        </w:rPr>
        <w:t>1.免费质保期：本次招标设备质保期≧二年。</w:t>
      </w:r>
    </w:p>
    <w:p>
      <w:pPr>
        <w:pStyle w:val="32"/>
      </w:pPr>
      <w:r>
        <w:rPr>
          <w:rFonts w:hint="eastAsia"/>
        </w:rPr>
        <w:t>2.培训：甲方对乙方提供的货物在使用前进行调试时，乙方需负责安装并培训甲方的使用操作人员，并协助甲方一起调试，直到符合技术要求。</w:t>
      </w:r>
    </w:p>
    <w:p>
      <w:pPr>
        <w:pStyle w:val="32"/>
      </w:pPr>
      <w:r>
        <w:rPr>
          <w:rFonts w:hint="eastAsia"/>
        </w:rPr>
        <w:t>3.响应时间：质保期内，如在使用过程中发生质量问题，乙方在接到甲方通知后在1小时内响应，并在2小时内赶到甲方现场，免费予以排除故障、修复或者更换零部件。如未及时维修的，甲方委托他人维修，维修费从合同款中扣除或由乙方承担。</w:t>
      </w:r>
    </w:p>
    <w:p>
      <w:pPr>
        <w:pStyle w:val="32"/>
      </w:pPr>
      <w:r>
        <w:rPr>
          <w:rFonts w:hint="eastAsia"/>
        </w:rPr>
        <w:t>4.售后技术服务要求：乙方提供的货物在质保期内因货物本身的质量问题发生故障，乙方应负责免费更换，并承担所发生的全部费用。</w:t>
      </w:r>
    </w:p>
    <w:p>
      <w:pPr>
        <w:spacing w:line="360" w:lineRule="auto"/>
        <w:ind w:firstLine="480" w:firstLineChars="200"/>
        <w:rPr>
          <w:rFonts w:asciiTheme="minorEastAsia" w:hAnsiTheme="minorEastAsia" w:eastAsiaTheme="minorEastAsia"/>
          <w:bCs/>
          <w:sz w:val="24"/>
          <w:szCs w:val="24"/>
        </w:rPr>
      </w:pPr>
    </w:p>
    <w:p>
      <w:pPr>
        <w:pStyle w:val="2"/>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三、安装要求</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按照国家现行行业规范标准进行安装，符合国家或行业质量检验评定标准。</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rPr>
        <w:t xml:space="preserve"> </w:t>
      </w:r>
      <w:r>
        <w:rPr>
          <w:rFonts w:hint="eastAsia" w:asciiTheme="minorEastAsia" w:hAnsiTheme="minorEastAsia" w:eastAsiaTheme="minorEastAsia"/>
          <w:bCs/>
          <w:sz w:val="24"/>
          <w:szCs w:val="24"/>
        </w:rPr>
        <w:t>风管验收要求:风管壁厚满足国家规范及投标文件承诺文件要求，安装完毕后要进行漏风、漏光检测,检测结果要符合国家标准规范；</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交货期、交货方式及交货地点</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 交货期：</w:t>
      </w:r>
      <w:r>
        <w:rPr>
          <w:rFonts w:hint="eastAsia" w:asciiTheme="minorEastAsia" w:hAnsiTheme="minorEastAsia" w:eastAsiaTheme="minorEastAsia"/>
          <w:bCs/>
          <w:sz w:val="24"/>
          <w:szCs w:val="24"/>
        </w:rPr>
        <w:t>务必在2024年月号之前完成全部设备到货安装及验收。</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 交货方式：</w:t>
      </w:r>
      <w:r>
        <w:rPr>
          <w:rFonts w:hint="eastAsia" w:asciiTheme="minorEastAsia" w:hAnsiTheme="minorEastAsia" w:eastAsiaTheme="minorEastAsia"/>
          <w:bCs/>
          <w:sz w:val="24"/>
          <w:szCs w:val="24"/>
        </w:rPr>
        <w:t>中标人在买方指定地点交货，并完成安装、验收。</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3. 交货地点：</w:t>
      </w:r>
      <w:r>
        <w:rPr>
          <w:rFonts w:hint="eastAsia" w:asciiTheme="minorEastAsia" w:hAnsiTheme="minorEastAsia" w:eastAsiaTheme="minorEastAsia"/>
          <w:bCs/>
          <w:sz w:val="24"/>
          <w:szCs w:val="24"/>
        </w:rPr>
        <w:t>南京医科大学。</w:t>
      </w:r>
    </w:p>
    <w:p>
      <w:pPr>
        <w:spacing w:line="360" w:lineRule="auto"/>
        <w:ind w:firstLine="482" w:firstLineChars="200"/>
        <w:rPr>
          <w:rFonts w:asciiTheme="minorEastAsia" w:hAnsiTheme="minorEastAsia" w:eastAsiaTheme="minorEastAsia"/>
          <w:b/>
          <w:bCs/>
          <w:sz w:val="24"/>
          <w:szCs w:val="24"/>
        </w:rPr>
      </w:pPr>
    </w:p>
    <w:p>
      <w:pPr>
        <w:spacing w:line="360" w:lineRule="auto"/>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w:t>
      </w:r>
      <w:r>
        <w:rPr>
          <w:rFonts w:asciiTheme="minorEastAsia" w:hAnsiTheme="minorEastAsia" w:eastAsiaTheme="minorEastAsia"/>
          <w:b/>
          <w:bCs/>
          <w:sz w:val="24"/>
          <w:szCs w:val="24"/>
        </w:rPr>
        <w:t>货款支付</w:t>
      </w:r>
    </w:p>
    <w:p>
      <w:pPr>
        <w:pStyle w:val="10"/>
        <w:ind w:firstLine="440" w:firstLineChars="200"/>
      </w:pPr>
      <w:r>
        <w:rPr>
          <w:rFonts w:hint="eastAsia"/>
        </w:rPr>
        <w:t>本工程项目不支付预付款，项目施工结束验收合格后，承包人将结算资料在规定时间内上报发包人，发包人组织结算审计，结算审计完成后付至审定价的97%，同时扣除水电费和可能承担的审计费，质保期结束且满足现场要求后支付3%尾款。</w:t>
      </w:r>
    </w:p>
    <w:p>
      <w:pPr>
        <w:pStyle w:val="32"/>
      </w:pPr>
    </w:p>
    <w:p>
      <w:pPr>
        <w:keepLines/>
        <w:spacing w:line="360" w:lineRule="auto"/>
        <w:ind w:firstLine="883" w:firstLineChars="200"/>
        <w:rPr>
          <w:rFonts w:ascii="宋体" w:hAnsi="宋体" w:eastAsia="宋体"/>
          <w:b/>
          <w:bCs/>
          <w:sz w:val="44"/>
          <w:szCs w:val="44"/>
        </w:rPr>
      </w:pPr>
      <w:bookmarkStart w:id="168" w:name="_Toc401414769"/>
    </w:p>
    <w:p>
      <w:pPr>
        <w:pStyle w:val="2"/>
        <w:ind w:firstLine="883"/>
        <w:rPr>
          <w:rFonts w:ascii="宋体" w:hAnsi="宋体"/>
          <w:b/>
          <w:bCs/>
          <w:sz w:val="44"/>
          <w:szCs w:val="44"/>
        </w:rPr>
      </w:pPr>
    </w:p>
    <w:p>
      <w:pPr>
        <w:rPr>
          <w:rFonts w:ascii="宋体" w:hAnsi="宋体" w:eastAsia="宋体"/>
          <w:b/>
          <w:bCs/>
          <w:sz w:val="44"/>
          <w:szCs w:val="44"/>
        </w:rPr>
      </w:pPr>
    </w:p>
    <w:p>
      <w:pPr>
        <w:pStyle w:val="2"/>
        <w:ind w:firstLine="883"/>
        <w:rPr>
          <w:rFonts w:ascii="宋体" w:hAnsi="宋体"/>
          <w:b/>
          <w:bCs/>
          <w:sz w:val="44"/>
          <w:szCs w:val="44"/>
        </w:rPr>
      </w:pPr>
    </w:p>
    <w:p>
      <w:pPr>
        <w:rPr>
          <w:rFonts w:ascii="宋体" w:hAnsi="宋体" w:eastAsia="宋体"/>
          <w:b/>
          <w:bCs/>
          <w:sz w:val="44"/>
          <w:szCs w:val="44"/>
        </w:rPr>
      </w:pPr>
    </w:p>
    <w:p>
      <w:pPr>
        <w:pStyle w:val="2"/>
        <w:ind w:firstLine="883"/>
        <w:rPr>
          <w:rFonts w:ascii="宋体" w:hAnsi="宋体"/>
          <w:b/>
          <w:bCs/>
          <w:sz w:val="44"/>
          <w:szCs w:val="44"/>
        </w:rPr>
      </w:pPr>
    </w:p>
    <w:p/>
    <w:p>
      <w:pPr>
        <w:pStyle w:val="22"/>
        <w:rPr>
          <w:rFonts w:ascii="宋体" w:hAnsi="宋体"/>
          <w:b/>
          <w:bCs/>
          <w:sz w:val="44"/>
          <w:szCs w:val="44"/>
        </w:rPr>
      </w:pPr>
    </w:p>
    <w:p>
      <w:pPr>
        <w:pStyle w:val="19"/>
      </w:pPr>
    </w:p>
    <w:p>
      <w:pPr>
        <w:pStyle w:val="5"/>
        <w:keepNext w:val="0"/>
        <w:keepLines/>
        <w:spacing w:line="360" w:lineRule="auto"/>
        <w:ind w:firstLine="883" w:firstLineChars="200"/>
        <w:rPr>
          <w:rFonts w:ascii="宋体" w:hAnsi="宋体" w:eastAsia="宋体"/>
          <w:bCs/>
          <w:sz w:val="44"/>
          <w:szCs w:val="44"/>
        </w:rPr>
      </w:pPr>
      <w:bookmarkStart w:id="169" w:name="_Toc523931348"/>
      <w:r>
        <w:rPr>
          <w:rFonts w:hint="eastAsia" w:ascii="宋体" w:hAnsi="宋体" w:eastAsia="宋体"/>
          <w:b/>
          <w:bCs/>
          <w:sz w:val="44"/>
          <w:szCs w:val="44"/>
        </w:rPr>
        <w:t>第四章  评标方法与评标标准</w:t>
      </w:r>
      <w:bookmarkEnd w:id="169"/>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32"/>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8"/>
    <w:tbl>
      <w:tblPr>
        <w:tblStyle w:val="23"/>
        <w:tblpPr w:leftFromText="180" w:rightFromText="180" w:vertAnchor="text" w:horzAnchor="page" w:tblpXSpec="center" w:tblpY="814"/>
        <w:tblOverlap w:val="never"/>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27"/>
        <w:gridCol w:w="5218"/>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序号</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评分项目</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评分标准</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宋体" w:hAnsi="宋体" w:eastAsia="宋体" w:cs="宋体"/>
                <w:bCs/>
                <w:sz w:val="24"/>
                <w:szCs w:val="24"/>
              </w:rPr>
            </w:pP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价格</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（30分）</w:t>
            </w:r>
          </w:p>
          <w:p>
            <w:pPr>
              <w:spacing w:line="360" w:lineRule="auto"/>
              <w:ind w:firstLine="480" w:firstLineChars="200"/>
              <w:jc w:val="both"/>
              <w:rPr>
                <w:rFonts w:ascii="宋体" w:hAnsi="宋体" w:eastAsia="宋体" w:cs="宋体"/>
                <w:bCs/>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价格分采用低价优先法计算，满足招标文件要求，进入详细评审的各投标人报价的最低值为评标基准价A值，A值为价格分的满分，即30分。其他投标人的价格分统一按照以下公式计算：投标人评标价得分=（A／该投标人评标价）×30（保留小数点后两位）。</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936" w:type="dxa"/>
            <w:tcBorders>
              <w:top w:val="single" w:color="auto" w:sz="4" w:space="0"/>
              <w:left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p>
        </w:tc>
        <w:tc>
          <w:tcPr>
            <w:tcW w:w="1727" w:type="dxa"/>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技术响应情况</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（42分）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投标产品对招标文件具体需求的响应程度：完全响应得42分；带▲项的为主要指标，不满足的每项减4分，其他每有一项不满足减2分；有3项负偏离，该项不得分。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同类产品销售业绩（10分）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投标人2021年01月01日以来的类似项目业绩，每提供一个得2分，最高得10分。（请提供有效的加盖公章的合同复印件,原件备查）</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36" w:type="dxa"/>
            <w:vMerge w:val="restart"/>
            <w:tcBorders>
              <w:top w:val="single" w:color="auto" w:sz="4" w:space="0"/>
              <w:left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p>
        </w:tc>
        <w:tc>
          <w:tcPr>
            <w:tcW w:w="1727" w:type="dxa"/>
            <w:vMerge w:val="restart"/>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售后服务</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（8分）</w:t>
            </w:r>
          </w:p>
          <w:p>
            <w:pPr>
              <w:spacing w:line="360" w:lineRule="auto"/>
              <w:ind w:firstLine="480" w:firstLineChars="200"/>
              <w:jc w:val="both"/>
              <w:rPr>
                <w:rFonts w:ascii="宋体" w:hAnsi="宋体" w:eastAsia="宋体" w:cs="宋体"/>
                <w:bCs/>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售后服务方案：售后服务体系、售后服务承诺、质保期内的售后服务范围、质保期满后的售后服务范围和收费情况、备品备件的承诺。</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服务体系完整、详细、提供的故障解决方案合理可行，售后应答及时得5分；</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服务体系较完整、较详细、较合理可行，售后应答较及时得3分；</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方案基本完整、基本合理可行、售后应答时间基本及时得1分。</w:t>
            </w:r>
          </w:p>
          <w:p>
            <w:pPr>
              <w:spacing w:line="360" w:lineRule="auto"/>
              <w:jc w:val="both"/>
              <w:rPr>
                <w:rFonts w:ascii="宋体" w:hAnsi="宋体" w:eastAsia="宋体" w:cs="宋体"/>
                <w:bCs/>
                <w:sz w:val="24"/>
                <w:szCs w:val="24"/>
              </w:rPr>
            </w:pPr>
            <w:r>
              <w:rPr>
                <w:rFonts w:hint="eastAsia" w:ascii="宋体" w:hAnsi="宋体" w:eastAsia="宋体" w:cs="宋体"/>
                <w:bCs/>
                <w:sz w:val="24"/>
                <w:szCs w:val="24"/>
              </w:rPr>
              <w:t>其他或无售后方案不得分。</w:t>
            </w:r>
          </w:p>
        </w:tc>
        <w:tc>
          <w:tcPr>
            <w:tcW w:w="903" w:type="dxa"/>
            <w:tcBorders>
              <w:top w:val="single" w:color="auto" w:sz="4" w:space="0"/>
              <w:left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936"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p>
        </w:tc>
        <w:tc>
          <w:tcPr>
            <w:tcW w:w="1727" w:type="dxa"/>
            <w:vMerge w:val="continue"/>
            <w:tcBorders>
              <w:left w:val="single" w:color="auto" w:sz="4" w:space="0"/>
              <w:bottom w:val="single" w:color="auto" w:sz="4" w:space="0"/>
              <w:right w:val="single" w:color="auto" w:sz="4" w:space="0"/>
            </w:tcBorders>
            <w:vAlign w:val="center"/>
          </w:tcPr>
          <w:p>
            <w:pPr>
              <w:spacing w:line="360" w:lineRule="auto"/>
              <w:ind w:firstLine="480" w:firstLineChars="200"/>
              <w:jc w:val="both"/>
              <w:rPr>
                <w:rFonts w:ascii="宋体" w:hAnsi="宋体" w:eastAsia="宋体" w:cs="宋体"/>
                <w:bCs/>
                <w:sz w:val="24"/>
                <w:szCs w:val="24"/>
              </w:rPr>
            </w:pPr>
          </w:p>
        </w:tc>
        <w:tc>
          <w:tcPr>
            <w:tcW w:w="5218"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免费质保期：项目整体及所有设备满足招标文件免费质保期要求（1年）的得1分，在此基础上整机免费质保期每增加1年加1分，本项最高得2分。如设备质保期不一致按最低质保期计算。</w:t>
            </w:r>
          </w:p>
        </w:tc>
        <w:tc>
          <w:tcPr>
            <w:tcW w:w="903" w:type="dxa"/>
            <w:tcBorders>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sz w:val="24"/>
              </w:rPr>
              <w:t>项目设计布局方案</w:t>
            </w:r>
            <w:r>
              <w:rPr>
                <w:rFonts w:hint="eastAsia" w:ascii="宋体" w:hAnsi="宋体" w:eastAsia="宋体" w:cs="宋体"/>
                <w:bCs/>
                <w:sz w:val="24"/>
              </w:rPr>
              <w:t>（4分）</w:t>
            </w:r>
          </w:p>
        </w:tc>
        <w:tc>
          <w:tcPr>
            <w:tcW w:w="521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eastAsia="宋体" w:cs="宋体"/>
                <w:bCs/>
                <w:sz w:val="24"/>
              </w:rPr>
            </w:pPr>
            <w:r>
              <w:rPr>
                <w:rFonts w:hint="eastAsia" w:ascii="宋体" w:hAnsi="宋体" w:eastAsia="宋体" w:cs="宋体"/>
                <w:bCs/>
                <w:sz w:val="24"/>
              </w:rPr>
              <w:t>1、完善：做出详细的规划布局图纸，实验室改造布局，实验台柜布置、通风管道布置图纸合理，标注尺寸明确且设计方案描述完善的得4分；</w:t>
            </w:r>
          </w:p>
          <w:p>
            <w:pPr>
              <w:spacing w:line="400" w:lineRule="exact"/>
              <w:rPr>
                <w:rFonts w:ascii="宋体" w:hAnsi="宋体" w:eastAsia="宋体" w:cs="宋体"/>
                <w:bCs/>
                <w:sz w:val="24"/>
              </w:rPr>
            </w:pPr>
            <w:r>
              <w:rPr>
                <w:rFonts w:hint="eastAsia" w:ascii="宋体" w:hAnsi="宋体" w:eastAsia="宋体" w:cs="宋体"/>
                <w:bCs/>
                <w:sz w:val="24"/>
              </w:rPr>
              <w:t>2、基本完善：具有简单的布局图，尺寸未按实际比例进行设计，未完全按照现场进行标注，对布局没有描述，整体方案一般。基本完善的得1分；</w:t>
            </w:r>
          </w:p>
          <w:p>
            <w:pPr>
              <w:spacing w:line="360" w:lineRule="auto"/>
              <w:jc w:val="both"/>
              <w:rPr>
                <w:rFonts w:ascii="宋体" w:hAnsi="宋体" w:eastAsia="宋体" w:cs="宋体"/>
                <w:bCs/>
                <w:sz w:val="24"/>
                <w:szCs w:val="24"/>
                <w:lang w:val="zh-CN"/>
              </w:rPr>
            </w:pPr>
            <w:r>
              <w:rPr>
                <w:rFonts w:hint="eastAsia" w:ascii="宋体" w:hAnsi="宋体" w:eastAsia="宋体" w:cs="宋体"/>
                <w:bCs/>
                <w:sz w:val="24"/>
              </w:rPr>
              <w:t>3、描述不全面或不提供：布局图不全面，线条模糊，没有按照参数进行标注，整体方案效果较差。描述不全面的得0分；</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bCs/>
                <w:sz w:val="24"/>
                <w:szCs w:val="24"/>
              </w:rPr>
            </w:pPr>
            <w:r>
              <w:rPr>
                <w:rFonts w:hint="eastAsia" w:ascii="宋体" w:hAnsi="宋体" w:eastAsia="宋体" w:cs="宋体"/>
                <w:bCs/>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6</w:t>
            </w:r>
          </w:p>
        </w:tc>
        <w:tc>
          <w:tcPr>
            <w:tcW w:w="172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宋体" w:hAnsi="宋体" w:eastAsia="宋体" w:cs="宋体"/>
                <w:sz w:val="24"/>
              </w:rPr>
            </w:pPr>
            <w:r>
              <w:rPr>
                <w:rFonts w:hint="eastAsia" w:ascii="宋体" w:hAnsi="宋体" w:eastAsia="宋体" w:cs="宋体"/>
                <w:sz w:val="24"/>
              </w:rPr>
              <w:t>企业实力</w:t>
            </w:r>
            <w:r>
              <w:rPr>
                <w:rFonts w:hint="eastAsia" w:ascii="宋体" w:hAnsi="宋体" w:eastAsia="宋体" w:cs="宋体"/>
                <w:bCs/>
                <w:sz w:val="24"/>
              </w:rPr>
              <w:t>（6分）</w:t>
            </w:r>
          </w:p>
        </w:tc>
        <w:tc>
          <w:tcPr>
            <w:tcW w:w="5218" w:type="dxa"/>
            <w:tcBorders>
              <w:top w:val="single" w:color="auto" w:sz="4" w:space="0"/>
              <w:left w:val="single" w:color="auto" w:sz="4" w:space="0"/>
              <w:bottom w:val="single" w:color="auto" w:sz="4" w:space="0"/>
              <w:right w:val="single" w:color="auto" w:sz="4" w:space="0"/>
            </w:tcBorders>
            <w:vAlign w:val="center"/>
          </w:tcPr>
          <w:p>
            <w:pPr>
              <w:pStyle w:val="57"/>
              <w:widowControl w:val="0"/>
              <w:adjustRightInd/>
              <w:snapToGrid/>
              <w:spacing w:line="380" w:lineRule="exact"/>
              <w:jc w:val="both"/>
              <w:rPr>
                <w:rFonts w:ascii="宋体" w:hAnsi="宋体" w:eastAsia="宋体" w:cs="宋体"/>
                <w:bCs/>
                <w:sz w:val="24"/>
              </w:rPr>
            </w:pPr>
            <w:r>
              <w:rPr>
                <w:rFonts w:hint="eastAsia" w:ascii="宋体" w:hAnsi="宋体" w:eastAsia="宋体" w:cs="宋体"/>
                <w:sz w:val="24"/>
                <w:szCs w:val="24"/>
              </w:rPr>
              <w:t>1.供应商具有有效期内并通过正常年审的质量体系认证证书、环保体系认证证书、职业健康安全体系认证证书。提供证书复印件，每个证书得2分，共计6分，不提供或不符合要求的不得分。</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jc w:val="both"/>
              <w:rPr>
                <w:rFonts w:ascii="宋体" w:hAnsi="宋体" w:eastAsia="宋体" w:cs="宋体"/>
                <w:bCs/>
                <w:sz w:val="24"/>
                <w:szCs w:val="24"/>
              </w:rPr>
            </w:pPr>
            <w:r>
              <w:rPr>
                <w:rFonts w:hint="eastAsia" w:ascii="宋体" w:hAnsi="宋体" w:eastAsia="宋体" w:cs="宋体"/>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881"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合计</w:t>
            </w:r>
          </w:p>
        </w:tc>
        <w:tc>
          <w:tcPr>
            <w:tcW w:w="903"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heme="minorEastAsia" w:hAnsiTheme="minorEastAsia" w:eastAsiaTheme="minorEastAsia"/>
                <w:bCs/>
                <w:sz w:val="24"/>
                <w:szCs w:val="24"/>
              </w:rPr>
            </w:pPr>
            <w:r>
              <w:rPr>
                <w:rFonts w:hint="eastAsia" w:asciiTheme="minorEastAsia" w:hAnsiTheme="minorEastAsia" w:eastAsiaTheme="minorEastAsia"/>
                <w:bCs/>
                <w:sz w:val="24"/>
                <w:szCs w:val="24"/>
              </w:rPr>
              <w:t>100</w:t>
            </w:r>
          </w:p>
        </w:tc>
      </w:tr>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32"/>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5"/>
        <w:pageBreakBefore/>
        <w:rPr>
          <w:rFonts w:ascii="宋体" w:hAnsi="宋体" w:eastAsia="宋体"/>
          <w:b/>
          <w:bCs/>
          <w:sz w:val="44"/>
        </w:rPr>
      </w:pPr>
      <w:bookmarkStart w:id="170" w:name="_Toc523931349"/>
      <w:r>
        <w:rPr>
          <w:rFonts w:hint="eastAsia" w:ascii="宋体" w:hAnsi="宋体" w:eastAsia="宋体"/>
          <w:b/>
          <w:bCs/>
          <w:sz w:val="44"/>
        </w:rPr>
        <w:t>第五章  投标文件格式</w:t>
      </w:r>
      <w:bookmarkEnd w:id="170"/>
      <w:r>
        <w:rPr>
          <w:rFonts w:hint="eastAsia" w:ascii="宋体" w:hAnsi="宋体" w:eastAsia="宋体"/>
          <w:b/>
          <w:bCs/>
          <w:sz w:val="44"/>
        </w:rPr>
        <w:t xml:space="preserve"> </w:t>
      </w:r>
    </w:p>
    <w:p>
      <w:pPr>
        <w:jc w:val="center"/>
        <w:rPr>
          <w:rFonts w:ascii="宋体" w:hAnsi="宋体"/>
          <w:b/>
          <w:sz w:val="72"/>
        </w:rPr>
      </w:pPr>
      <w:bookmarkStart w:id="171" w:name="_Hlt26671244"/>
      <w:bookmarkEnd w:id="171"/>
      <w:bookmarkStart w:id="172" w:name="_Hlt26955039"/>
      <w:bookmarkEnd w:id="172"/>
      <w:bookmarkStart w:id="173" w:name="_Toc49090576"/>
      <w:bookmarkStart w:id="174" w:name="_Toc26554094"/>
      <w:bookmarkStart w:id="175" w:name="_Toc120614282"/>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32"/>
        <w:ind w:firstLine="0"/>
        <w:jc w:val="center"/>
        <w:rPr>
          <w:rFonts w:ascii="宋体" w:hAnsi="宋体" w:cs="宋体"/>
          <w:b/>
        </w:rPr>
      </w:pPr>
      <w:bookmarkStart w:id="176" w:name="_Toc517190894"/>
      <w:r>
        <w:rPr>
          <w:rFonts w:hint="eastAsia" w:ascii="宋体" w:hAnsi="宋体" w:cs="宋体"/>
          <w:b/>
        </w:rPr>
        <w:t>投标函格式</w:t>
      </w:r>
      <w:bookmarkEnd w:id="176"/>
    </w:p>
    <w:p>
      <w:pPr>
        <w:pStyle w:val="32"/>
        <w:spacing w:before="0" w:after="0" w:line="420" w:lineRule="exact"/>
        <w:ind w:firstLine="0"/>
        <w:rPr>
          <w:rFonts w:ascii="宋体" w:hAnsi="宋体" w:cs="宋体"/>
          <w:kern w:val="2"/>
        </w:rPr>
      </w:pPr>
      <w:r>
        <w:rPr>
          <w:rFonts w:hint="eastAsia" w:ascii="宋体" w:hAnsi="宋体" w:cs="宋体"/>
          <w:kern w:val="2"/>
        </w:rPr>
        <w:t>致：南京医科大学</w:t>
      </w:r>
    </w:p>
    <w:p>
      <w:pPr>
        <w:pStyle w:val="32"/>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32"/>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32"/>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32"/>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32"/>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32"/>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32"/>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32"/>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32"/>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32"/>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32"/>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32"/>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32"/>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32"/>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32"/>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32"/>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32"/>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32"/>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32"/>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32"/>
        <w:spacing w:before="0" w:after="0" w:line="420" w:lineRule="exact"/>
        <w:ind w:left="440" w:leftChars="200" w:firstLine="3000" w:firstLineChars="1250"/>
        <w:rPr>
          <w:rFonts w:ascii="宋体" w:hAnsi="宋体" w:cs="宋体"/>
          <w:kern w:val="2"/>
        </w:rPr>
      </w:pPr>
    </w:p>
    <w:p>
      <w:pPr>
        <w:pStyle w:val="32"/>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Lines="50"/>
        <w:rPr>
          <w:rFonts w:ascii="宋体" w:hAnsi="宋体" w:eastAsia="宋体" w:cs="宋体"/>
          <w:sz w:val="24"/>
          <w:szCs w:val="24"/>
        </w:rPr>
      </w:pPr>
    </w:p>
    <w:p>
      <w:pPr>
        <w:pStyle w:val="32"/>
        <w:ind w:firstLine="0"/>
        <w:jc w:val="center"/>
        <w:rPr>
          <w:rFonts w:ascii="宋体" w:hAnsi="宋体" w:cs="宋体"/>
          <w:b/>
        </w:rPr>
      </w:pPr>
      <w:bookmarkStart w:id="177" w:name="_Toc517190895"/>
    </w:p>
    <w:p>
      <w:pPr>
        <w:pStyle w:val="32"/>
        <w:ind w:firstLine="0"/>
        <w:jc w:val="center"/>
        <w:rPr>
          <w:rFonts w:ascii="宋体" w:hAnsi="宋体" w:cs="宋体"/>
          <w:b/>
        </w:rPr>
      </w:pPr>
      <w:r>
        <w:rPr>
          <w:rFonts w:hint="eastAsia" w:ascii="宋体" w:hAnsi="宋体" w:cs="宋体"/>
          <w:b/>
        </w:rPr>
        <w:t>法人授权书</w:t>
      </w:r>
      <w:bookmarkEnd w:id="177"/>
    </w:p>
    <w:p>
      <w:pPr>
        <w:pStyle w:val="48"/>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8"/>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8"/>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8"/>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8"/>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8"/>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8"/>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8"/>
        <w:spacing w:line="360" w:lineRule="auto"/>
        <w:ind w:firstLine="480"/>
        <w:jc w:val="right"/>
        <w:rPr>
          <w:rFonts w:ascii="宋体" w:hAnsi="宋体" w:cs="宋体"/>
          <w:sz w:val="24"/>
          <w:szCs w:val="24"/>
        </w:rPr>
      </w:pPr>
    </w:p>
    <w:p>
      <w:pPr>
        <w:pStyle w:val="48"/>
        <w:spacing w:line="360" w:lineRule="auto"/>
        <w:ind w:firstLine="480"/>
        <w:rPr>
          <w:rFonts w:ascii="宋体" w:hAnsi="宋体" w:cs="宋体"/>
          <w:sz w:val="24"/>
          <w:szCs w:val="24"/>
        </w:rPr>
      </w:pPr>
      <w:r>
        <w:rPr>
          <w:rFonts w:hint="eastAsia" w:ascii="宋体" w:hAnsi="宋体" w:cs="宋体"/>
          <w:sz w:val="24"/>
          <w:szCs w:val="24"/>
        </w:rPr>
        <w:t>法人签字：</w:t>
      </w:r>
    </w:p>
    <w:p>
      <w:pPr>
        <w:pStyle w:val="48"/>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8"/>
        <w:spacing w:line="360" w:lineRule="auto"/>
        <w:ind w:firstLine="480"/>
        <w:jc w:val="right"/>
        <w:rPr>
          <w:rFonts w:ascii="宋体" w:hAnsi="宋体" w:cs="宋体"/>
          <w:sz w:val="24"/>
          <w:szCs w:val="24"/>
        </w:rPr>
      </w:pPr>
    </w:p>
    <w:p>
      <w:pPr>
        <w:pStyle w:val="48"/>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8"/>
        <w:rPr>
          <w:rFonts w:ascii="宋体" w:hAnsi="宋体" w:eastAsia="宋体" w:cs="宋体"/>
          <w:sz w:val="24"/>
          <w:szCs w:val="24"/>
        </w:rPr>
      </w:pPr>
      <w:bookmarkStart w:id="178" w:name="_格式3__银行出具的资信证明"/>
      <w:bookmarkEnd w:id="178"/>
      <w:bookmarkStart w:id="179" w:name="_Hlt26955070"/>
      <w:bookmarkEnd w:id="179"/>
      <w:bookmarkStart w:id="180" w:name="_Hlt26671380"/>
      <w:bookmarkEnd w:id="180"/>
    </w:p>
    <w:p>
      <w:pPr>
        <w:pStyle w:val="6"/>
        <w:rPr>
          <w:rFonts w:ascii="宋体" w:hAnsi="宋体" w:eastAsia="宋体" w:cs="宋体"/>
          <w:sz w:val="24"/>
          <w:szCs w:val="24"/>
        </w:rPr>
      </w:pPr>
    </w:p>
    <w:p>
      <w:pPr>
        <w:pStyle w:val="32"/>
        <w:pageBreakBefore/>
        <w:ind w:firstLine="0"/>
        <w:jc w:val="center"/>
        <w:rPr>
          <w:rFonts w:ascii="宋体" w:hAnsi="宋体" w:cs="宋体"/>
          <w:b/>
        </w:rPr>
      </w:pPr>
      <w:bookmarkStart w:id="181" w:name="_Toc517190896"/>
      <w:r>
        <w:rPr>
          <w:rFonts w:hint="eastAsia" w:ascii="宋体" w:hAnsi="宋体" w:cs="宋体"/>
          <w:b/>
        </w:rPr>
        <w:t>开标一览表</w:t>
      </w:r>
      <w:bookmarkEnd w:id="181"/>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11"/>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11"/>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11"/>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32"/>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11"/>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11"/>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11"/>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11"/>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11"/>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11"/>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13"/>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32"/>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3"/>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3"/>
    <w:bookmarkEnd w:id="174"/>
    <w:bookmarkEnd w:id="175"/>
    <w:p>
      <w:pPr>
        <w:jc w:val="center"/>
        <w:rPr>
          <w:rFonts w:ascii="宋体" w:hAnsi="宋体" w:eastAsia="宋体" w:cs="宋体"/>
          <w:b/>
          <w:sz w:val="24"/>
          <w:szCs w:val="24"/>
        </w:rPr>
      </w:pPr>
      <w:bookmarkStart w:id="182"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3"/>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3" w:name="OLE_LINK10"/>
            <w:bookmarkStart w:id="184"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3"/>
      <w:bookmarkEnd w:id="184"/>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8"/>
      </w:pPr>
    </w:p>
    <w:p>
      <w:pPr>
        <w:pStyle w:val="8"/>
      </w:pPr>
    </w:p>
    <w:p>
      <w:pPr>
        <w:pStyle w:val="8"/>
      </w:pPr>
    </w:p>
    <w:p>
      <w:pPr>
        <w:pStyle w:val="8"/>
      </w:pPr>
    </w:p>
    <w:p>
      <w:pPr>
        <w:pStyle w:val="8"/>
      </w:pPr>
    </w:p>
    <w:p>
      <w:pPr>
        <w:pStyle w:val="8"/>
      </w:pPr>
    </w:p>
    <w:bookmarkEnd w:id="182"/>
    <w:p>
      <w:pPr>
        <w:spacing w:line="360" w:lineRule="auto"/>
        <w:jc w:val="center"/>
        <w:rPr>
          <w:rFonts w:ascii="宋体" w:hAnsi="宋体" w:eastAsia="宋体" w:cs="宋体"/>
          <w:b/>
          <w:sz w:val="32"/>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spacing w:line="360" w:lineRule="auto"/>
        <w:jc w:val="center"/>
        <w:rPr>
          <w:rFonts w:ascii="仿宋" w:hAnsi="仿宋" w:eastAsia="仿宋" w:cs="Times New Roman"/>
          <w:b/>
          <w:kern w:val="2"/>
          <w:sz w:val="21"/>
          <w:szCs w:val="21"/>
        </w:rPr>
      </w:pPr>
      <w:r>
        <w:rPr>
          <w:rFonts w:hint="eastAsia" w:ascii="仿宋_GB2312" w:hAnsi="Calibri" w:eastAsia="仿宋_GB2312" w:cs="Times New Roman"/>
          <w:kern w:val="2"/>
          <w:sz w:val="21"/>
          <w:szCs w:val="21"/>
        </w:rPr>
        <w:t>（</w:t>
      </w:r>
      <w:r>
        <w:rPr>
          <w:rFonts w:hint="eastAsia" w:ascii="楷体" w:hAnsi="楷体" w:eastAsia="楷体" w:cs="Times New Roman"/>
          <w:kern w:val="2"/>
          <w:sz w:val="21"/>
          <w:szCs w:val="21"/>
        </w:rPr>
        <w:t>本范本适用于单项金额在20万元以下的工程类项目</w:t>
      </w:r>
      <w:r>
        <w:rPr>
          <w:rFonts w:hint="eastAsia" w:ascii="仿宋_GB2312" w:hAnsi="Calibri" w:eastAsia="仿宋_GB2312" w:cs="Times New Roman"/>
          <w:kern w:val="2"/>
          <w:sz w:val="21"/>
          <w:szCs w:val="21"/>
        </w:rPr>
        <w:t>）</w:t>
      </w:r>
    </w:p>
    <w:p>
      <w:pPr>
        <w:widowControl w:val="0"/>
        <w:spacing w:beforeLines="50" w:after="0" w:line="400" w:lineRule="exact"/>
        <w:jc w:val="both"/>
        <w:rPr>
          <w:rFonts w:ascii="仿宋_GB2312" w:hAnsi="Calibri" w:eastAsia="仿宋_GB2312" w:cs="Times New Roman"/>
          <w:b/>
          <w:kern w:val="2"/>
          <w:sz w:val="21"/>
          <w:szCs w:val="21"/>
        </w:rPr>
      </w:pPr>
      <w:r>
        <w:rPr>
          <w:rFonts w:hint="eastAsia" w:ascii="仿宋_GB2312" w:hAnsi="Calibri" w:eastAsia="仿宋_GB2312" w:cs="Times New Roman"/>
          <w:b/>
          <w:kern w:val="2"/>
          <w:sz w:val="21"/>
          <w:szCs w:val="21"/>
        </w:rPr>
        <w:t>发包人（全称）：</w:t>
      </w:r>
      <w:r>
        <w:rPr>
          <w:rFonts w:hint="eastAsia" w:ascii="仿宋_GB2312" w:hAnsi="Calibri" w:eastAsia="仿宋_GB2312" w:cs="Times New Roman"/>
          <w:b/>
          <w:kern w:val="2"/>
          <w:sz w:val="21"/>
          <w:szCs w:val="21"/>
          <w:u w:val="single"/>
        </w:rPr>
        <w:t xml:space="preserve">   南京医科大学             </w:t>
      </w:r>
    </w:p>
    <w:p>
      <w:pPr>
        <w:widowControl w:val="0"/>
        <w:tabs>
          <w:tab w:val="left" w:pos="630"/>
        </w:tabs>
        <w:spacing w:after="0" w:line="400" w:lineRule="exact"/>
        <w:jc w:val="both"/>
        <w:rPr>
          <w:rFonts w:ascii="仿宋_GB2312" w:hAnsi="Calibri" w:eastAsia="仿宋_GB2312" w:cs="Times New Roman"/>
          <w:kern w:val="2"/>
          <w:sz w:val="21"/>
          <w:szCs w:val="21"/>
        </w:rPr>
      </w:pPr>
      <w:r>
        <w:rPr>
          <w:rFonts w:hint="eastAsia" w:ascii="仿宋_GB2312" w:hAnsi="Calibri" w:eastAsia="仿宋_GB2312" w:cs="Times New Roman"/>
          <w:b/>
          <w:kern w:val="2"/>
          <w:sz w:val="21"/>
          <w:szCs w:val="21"/>
        </w:rPr>
        <w:t>承包人（全称）：</w:t>
      </w:r>
      <w:r>
        <w:rPr>
          <w:rFonts w:hint="eastAsia" w:ascii="仿宋_GB2312" w:hAnsi="Calibri" w:eastAsia="仿宋_GB2312" w:cs="Times New Roman"/>
          <w:b/>
          <w:kern w:val="2"/>
          <w:sz w:val="21"/>
          <w:szCs w:val="21"/>
          <w:u w:val="single"/>
        </w:rPr>
        <w:t xml:space="preserve">                                     </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承包方由</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b/>
          <w:kern w:val="2"/>
          <w:sz w:val="21"/>
          <w:szCs w:val="21"/>
          <w:u w:val="single"/>
        </w:rPr>
        <w:t>（校内单位）</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通过</w:t>
      </w:r>
      <w:r>
        <w:rPr>
          <w:rFonts w:hint="eastAsia" w:ascii="仿宋_GB2312" w:hAnsi="Calibri" w:eastAsia="仿宋_GB2312" w:cs="Times New Roman"/>
          <w:kern w:val="2"/>
          <w:sz w:val="21"/>
          <w:szCs w:val="21"/>
          <w:u w:val="single"/>
        </w:rPr>
        <w:t xml:space="preserve">  （直接委托，比价，竞争谈判等）  </w:t>
      </w:r>
      <w:r>
        <w:rPr>
          <w:rFonts w:hint="eastAsia" w:ascii="仿宋_GB2312" w:hAnsi="Calibri" w:eastAsia="仿宋_GB2312" w:cs="Times New Roman"/>
          <w:kern w:val="2"/>
          <w:sz w:val="21"/>
          <w:szCs w:val="21"/>
        </w:rPr>
        <w:t>方式，确定为该项目供应商。</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根据《中华人民共和国民法典》、《中华人民共和国建筑法》及有关法律规定，遵循平等、自愿、公平和诚实信用的原则，双方就该工程施工及有关事项协商一致，共同达成如下协议：</w:t>
      </w:r>
    </w:p>
    <w:p>
      <w:pPr>
        <w:widowControl w:val="0"/>
        <w:spacing w:after="0" w:line="400" w:lineRule="exact"/>
        <w:ind w:firstLine="422" w:firstLineChars="200"/>
        <w:jc w:val="both"/>
        <w:rPr>
          <w:rFonts w:ascii="仿宋_GB2312" w:hAnsi="Calibri" w:eastAsia="仿宋_GB2312" w:cs="Times New Roman"/>
          <w:kern w:val="2"/>
          <w:sz w:val="21"/>
          <w:szCs w:val="21"/>
        </w:rPr>
      </w:pPr>
      <w:r>
        <w:rPr>
          <w:rFonts w:hint="eastAsia" w:ascii="仿宋_GB2312" w:hAnsi="Calibri" w:eastAsia="仿宋_GB2312" w:cs="Times New Roman"/>
          <w:b/>
          <w:bCs/>
          <w:kern w:val="2"/>
          <w:sz w:val="21"/>
          <w:szCs w:val="21"/>
        </w:rPr>
        <w:t>一、工程概况</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1.工程名称：</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2.工程地点：</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 w:hAnsi="仿宋" w:eastAsia="仿宋" w:cs="仿宋"/>
          <w:kern w:val="2"/>
          <w:sz w:val="21"/>
          <w:szCs w:val="21"/>
          <w:u w:val="single"/>
        </w:rPr>
      </w:pPr>
      <w:r>
        <w:rPr>
          <w:rFonts w:hint="eastAsia" w:ascii="仿宋_GB2312" w:hAnsi="Calibri" w:eastAsia="仿宋_GB2312" w:cs="Times New Roman"/>
          <w:kern w:val="2"/>
          <w:sz w:val="21"/>
          <w:szCs w:val="21"/>
        </w:rPr>
        <w:t>3.工程内容：</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4.工程承包范围：</w:t>
      </w:r>
      <w:r>
        <w:rPr>
          <w:rFonts w:hint="eastAsia" w:ascii="仿宋_GB2312" w:hAnsi="Calibri" w:eastAsia="仿宋_GB2312" w:cs="Times New Roman"/>
          <w:kern w:val="2"/>
          <w:sz w:val="21"/>
          <w:szCs w:val="21"/>
          <w:u w:val="single"/>
        </w:rPr>
        <w:t>包工包料、包质量、包安全、包工期、包验收</w:t>
      </w:r>
      <w:r>
        <w:rPr>
          <w:rFonts w:hint="eastAsia" w:ascii="仿宋_GB2312" w:hAnsi="Calibri" w:eastAsia="仿宋_GB2312" w:cs="Times New Roman"/>
          <w:kern w:val="2"/>
          <w:sz w:val="21"/>
          <w:szCs w:val="21"/>
        </w:rPr>
        <w:t>。</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二、合同工期</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1.计划开工日期：</w:t>
      </w:r>
      <w:r>
        <w:rPr>
          <w:rFonts w:hint="eastAsia" w:ascii="仿宋_GB2312" w:hAnsi="Calibri" w:eastAsia="仿宋_GB2312" w:cs="Times New Roman"/>
          <w:kern w:val="2"/>
          <w:sz w:val="21"/>
          <w:szCs w:val="21"/>
          <w:u w:val="single"/>
        </w:rPr>
        <w:t xml:space="preserve"> </w:t>
      </w:r>
      <w:r>
        <w:rPr>
          <w:rFonts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年</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月</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日（具体开工日期以发包人书面开工令为准）</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2.计划竣工日期：</w:t>
      </w:r>
      <w:r>
        <w:rPr>
          <w:rFonts w:hint="eastAsia" w:ascii="仿宋_GB2312" w:hAnsi="Calibri" w:eastAsia="仿宋_GB2312" w:cs="Times New Roman"/>
          <w:kern w:val="2"/>
          <w:sz w:val="21"/>
          <w:szCs w:val="21"/>
          <w:u w:val="single"/>
        </w:rPr>
        <w:t xml:space="preserve"> </w:t>
      </w:r>
      <w:r>
        <w:rPr>
          <w:rFonts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年</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月</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日</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3.合同工期总日历天数：</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天。工期总日历天数与根据前述计划开竣工日期计算的工期天数不一致的，以工期总日历天数为准。因发包人原因、工程量变化和设计变更导致工期延误的，双方协商顺延时间，费用不调整。非上述原因造成工期延误的，承包人向发包人支付延期赔偿，每天赔偿金额为合同价款的千分之三。</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三、质量标准</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bCs/>
          <w:kern w:val="2"/>
          <w:sz w:val="21"/>
          <w:szCs w:val="21"/>
        </w:rPr>
        <w:t>工程质量符合</w:t>
      </w:r>
      <w:r>
        <w:rPr>
          <w:rFonts w:hint="eastAsia" w:ascii="Calibri" w:hAnsi="Calibri" w:eastAsia="仿宋_GB2312" w:cs="Times New Roman"/>
          <w:kern w:val="2"/>
          <w:sz w:val="21"/>
          <w:szCs w:val="21"/>
        </w:rPr>
        <w:t>现行国家有关工程施工质量验收</w:t>
      </w:r>
      <w:r>
        <w:rPr>
          <w:rFonts w:hint="eastAsia" w:ascii="仿宋_GB2312" w:hAnsi="Calibri" w:eastAsia="仿宋_GB2312" w:cs="Times New Roman"/>
          <w:kern w:val="2"/>
          <w:sz w:val="21"/>
          <w:szCs w:val="21"/>
        </w:rPr>
        <w:t>标准，工程隐蔽部位经承包人自检确认具备隐蔽条件的，承包人应在共同检查前48小时通知发包人检查，并做好记录。</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四、签约合同价与合同款项支付</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bCs/>
          <w:kern w:val="2"/>
          <w:sz w:val="21"/>
          <w:szCs w:val="21"/>
        </w:rPr>
        <w:t>1.签约合同价为：</w:t>
      </w:r>
      <w:r>
        <w:rPr>
          <w:rFonts w:hint="eastAsia" w:ascii="仿宋_GB2312" w:hAnsi="Calibri" w:eastAsia="仿宋_GB2312" w:cs="Times New Roman"/>
          <w:kern w:val="2"/>
          <w:sz w:val="21"/>
          <w:szCs w:val="21"/>
        </w:rPr>
        <w:t>人民币（大写）：</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r>
        <w:rPr>
          <w:rFonts w:hint="eastAsia" w:ascii="宋体" w:hAnsi="宋体" w:eastAsia="宋体" w:cs="宋体"/>
          <w:kern w:val="2"/>
          <w:sz w:val="21"/>
          <w:szCs w:val="21"/>
        </w:rPr>
        <w:t>¥</w:t>
      </w:r>
      <w:r>
        <w:rPr>
          <w:rFonts w:hint="eastAsia" w:ascii="宋体" w:hAnsi="宋体" w:eastAsia="宋体" w:cs="宋体"/>
          <w:kern w:val="2"/>
          <w:sz w:val="21"/>
          <w:szCs w:val="21"/>
          <w:u w:val="single"/>
        </w:rPr>
        <w:t xml:space="preserve">          </w:t>
      </w:r>
      <w:r>
        <w:rPr>
          <w:rFonts w:hint="eastAsia" w:ascii="仿宋_GB2312" w:hAnsi="Calibri" w:eastAsia="仿宋_GB2312" w:cs="Times New Roman"/>
          <w:kern w:val="2"/>
          <w:sz w:val="21"/>
          <w:szCs w:val="21"/>
        </w:rPr>
        <w:t>元）。</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2.合同价格形式：</w:t>
      </w:r>
      <w:r>
        <w:rPr>
          <w:rFonts w:hint="eastAsia" w:ascii="仿宋_GB2312" w:hAnsi="Calibri" w:eastAsia="仿宋_GB2312" w:cs="Times New Roman"/>
          <w:kern w:val="2"/>
          <w:sz w:val="21"/>
          <w:szCs w:val="21"/>
          <w:u w:val="single"/>
        </w:rPr>
        <w:t>单价合同</w:t>
      </w:r>
      <w:r>
        <w:rPr>
          <w:rFonts w:hint="eastAsia" w:ascii="仿宋_GB2312" w:hAnsi="Calibri" w:eastAsia="仿宋_GB2312" w:cs="Times New Roman"/>
          <w:kern w:val="2"/>
          <w:sz w:val="21"/>
          <w:szCs w:val="21"/>
        </w:rPr>
        <w:t>。合同价款中包括的风险范围：其包括施工、材料采购、供应、运输、装卸、上下力、劳务、保管、安装、维护、水电费、施工设备、缺陷修补、成品保护、竣工图纸、售后服务、质保、垃圾清运以及合同文件中规定的其它工作义务等所需的一切人工费、机械费、材料费（含主材、辅助材料、配件等）、措施费、疫情防控费、管理费、利润、税金、社会保障资金、规费及政策性文件规定及合同所包含的所有风险的各项应有费用以及为完成上述内容所必须的措施工程、附属工程、临时工程、其它项目等发生的和可能发生的全部费用。</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w:t>
      </w:r>
      <w:r>
        <w:rPr>
          <w:rFonts w:ascii="Calibri" w:hAnsi="Calibri" w:eastAsia="宋体" w:cs="Times New Roman"/>
          <w:kern w:val="2"/>
          <w:sz w:val="21"/>
        </w:rPr>
        <w:t xml:space="preserve"> </w:t>
      </w:r>
      <w:r>
        <w:rPr>
          <w:rFonts w:hint="eastAsia" w:ascii="仿宋_GB2312" w:hAnsi="Calibri" w:eastAsia="仿宋_GB2312" w:cs="Times New Roman"/>
          <w:kern w:val="2"/>
          <w:sz w:val="21"/>
          <w:szCs w:val="21"/>
        </w:rPr>
        <w:t>工程进度款支付：</w:t>
      </w:r>
      <w:r>
        <w:rPr>
          <w:rFonts w:hint="eastAsia" w:ascii="仿宋_GB2312" w:hAnsi="Calibri" w:eastAsia="仿宋_GB2312" w:cs="Times New Roman"/>
          <w:kern w:val="2"/>
          <w:sz w:val="21"/>
          <w:szCs w:val="21"/>
          <w:highlight w:val="none"/>
        </w:rPr>
        <w:t>本工程项目不支付预付款，项目施工结束验收合格后，承包人将结算资料在规定时间内上报发包人，发包人组织结算审计，结算审计完成后付至审定价的97%，同时扣除水电费和可能承担的审计费，质保期结束且满足现场要求后支付3%尾款。</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4.</w:t>
      </w:r>
      <w:r>
        <w:rPr>
          <w:rFonts w:ascii="Calibri" w:hAnsi="Calibri" w:eastAsia="宋体" w:cs="Times New Roman"/>
          <w:kern w:val="2"/>
          <w:sz w:val="21"/>
        </w:rPr>
        <w:t xml:space="preserve"> </w:t>
      </w:r>
      <w:r>
        <w:rPr>
          <w:rFonts w:hint="eastAsia" w:ascii="仿宋_GB2312" w:hAnsi="Calibri" w:eastAsia="仿宋_GB2312" w:cs="Times New Roman"/>
          <w:kern w:val="2"/>
          <w:sz w:val="21"/>
          <w:szCs w:val="21"/>
        </w:rPr>
        <w:t>如该项目为跨年度工程或遇付款时间为学校财务-封帐期等特殊情况，无法支付工程款时，付款时间由发、承包双方另行商定，发包方对此不承担违约责任。</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五、合同当事人权利和义务</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1.发包人代表姓名：</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，联系电话：</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发包人对发包人代表的授权如下：（1）督促承包人按照合同履行职责；（2）协调各有关单位工作及关系；（3）工程量变更的签证；（4）工期顺延的签证；（5）工程款项支付初步审核；（6）其他权利和义务。</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2.承包人项目经理：</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，联系电话：</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承包人对项目经理的授权范围如下：全面履行工程项目的承包管理职责，为工程参与各方做好协调和服务，在资金、质量、安全、环境保护、文明施工等合约目标范围向发包人直接负责。</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承包人具体承担施工安全保卫和安全教育工作及非夜间施工照明的责任，须遵守政府有关主管部门对施工场地交通、渣土弃置、施工噪音、污水排放、疫情防控以及环境保护和安全生产等管理规定，落实施工场地周围地下管线和邻近建筑物、构筑物(含文物保护建筑)、古树名木保护要求、原有及已完工程成品保护特殊要求，负责协调并妥善处理好施工现场周边四邻关系，确保施工正常进行，并承担处理此类问题所发生的费用及责任，综合考虑夜间施工和材料、构配件和建筑物工程质量检测相关工作。以上工作相关费用包含在合同价款中，结算时不再调整。</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若因承包人不履行或未履行上述约定工作，产生工程质量问题、影响工程进度，造成有关部门找发包人处理，发包人有权责令承包人停工并且暂停支付工程款，直到问题解决，并可先行处理理赔，费用从承包人工程款中扣除。延误工期将不予顺延，发包人另行追究承包人的违约责任。</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六、工程变更和价格调整原则</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1.承包人不得对原工程设计进行变更，因承包人自身原因导致的工程变更在实施前须通过设计单位确认并经发包人认可，承包人无权要求追加合同价款，由此给发包人造成的损失承包人应如数赔偿。</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2.所有签证须经承包人项目经理、发包人代表共同签字，经发包人盖章认可后方可生效。工程变更引起造价变化的，需附带工程预算变化明细，报发包人和审计部门审核，根据最终意见在结算中予以计取。</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由于设计变更、工程签证及采购工程量清单误差而导致的清单子目工程量增减，结算时按实际发生的工程量调整。如有新增工程量清单项目，有相同或者类似适用子目的，按此执行；没有的，则根据参照的定额或其他计价依据资料重新组价。分部分项单项工程量变更超过15%的，也需要重新组价。如工程有总价优惠，则调整部分的工程造价也须参照该总价优惠比率进行优惠。</w:t>
      </w:r>
    </w:p>
    <w:p>
      <w:pPr>
        <w:widowControl w:val="0"/>
        <w:spacing w:after="0" w:line="400" w:lineRule="exact"/>
        <w:ind w:firstLine="422" w:firstLineChars="200"/>
        <w:jc w:val="both"/>
        <w:rPr>
          <w:rFonts w:ascii="仿宋_GB2312" w:hAnsi="Calibri" w:eastAsia="仿宋_GB2312" w:cs="Times New Roman"/>
          <w:b/>
          <w:kern w:val="2"/>
          <w:sz w:val="21"/>
          <w:szCs w:val="21"/>
        </w:rPr>
      </w:pPr>
      <w:r>
        <w:rPr>
          <w:rFonts w:hint="eastAsia" w:ascii="仿宋_GB2312" w:hAnsi="Calibri" w:eastAsia="仿宋_GB2312" w:cs="Times New Roman"/>
          <w:b/>
          <w:kern w:val="2"/>
          <w:sz w:val="21"/>
          <w:szCs w:val="21"/>
        </w:rPr>
        <w:t>七、竣工验收、结算</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工程竣工验收合格后15日内，承包人必须提交本项目合同范围内工程量结算资料至发包方委托的审计单位（送审资料的完整性以送审资料清单的内容为准，包括工程结算书、施工合同、验收单、工程量计算书、签证变更资料、图纸或简易平面图、原始测量数据等）。若承包人不能根据要求按期送审，每推迟一天扣除合同价的千分之三作为违约金。</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同意发包人以自己的名义单方委托有相应资质的审计机构（工程造价咨询单位）对本工程作结算审计。承包方在接到审计部门初审意见后7个工作日内没有来核对，或核对缺席时间超过15个工作日的，则不安排本年度的审计，延至下一年度重新安排审计工作。由此带来的损失由承包人承担。</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结算审计过程中，审计单位有权根据现场实际施工情况对工程量进行核减，对明显高于市场价格的材料进行调整，对不符合国家定额规范的子项重新进行组价，对不符合国家政策文件的内容进行纠正，对不符合合同条款约定的其他事项进行调整。</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4.</w:t>
      </w:r>
      <w:r>
        <w:rPr>
          <w:rFonts w:ascii="Calibri" w:hAnsi="Calibri" w:eastAsia="宋体" w:cs="Times New Roman"/>
          <w:kern w:val="2"/>
          <w:sz w:val="21"/>
        </w:rPr>
        <w:t xml:space="preserve"> </w:t>
      </w:r>
      <w:r>
        <w:rPr>
          <w:rFonts w:hint="eastAsia" w:ascii="仿宋_GB2312" w:hAnsi="Calibri" w:eastAsia="仿宋_GB2312" w:cs="Times New Roman"/>
          <w:kern w:val="2"/>
          <w:sz w:val="21"/>
          <w:szCs w:val="21"/>
        </w:rPr>
        <w:t>工程所需水、电全部费用均由承包人承担，配电箱、电表、水表由承包人自备。</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水电费结算方式：承包人单独接水、电表的，按实际抄表总数计算水电费，承包人上报并经过相关职能部门审核后，由审计部门在结算审计时扣回；施工现场不能单独接水、电表的，由审计部门结算审计时按照定额内水电费计算扣回；定额内无法明确水电含量时，按照审定价的3‰扣回。</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5.双方就下列标准承担审计机构的审计费用：审计核减率超过10%的，其审计费用全部由施工单位承担，并由发包人从施工单位工程款中扣除（下同）；审计核减率在8%—10%（含10%）之间的，其审计费用由发包人承担20%，施工单位承担80%；审计核减率在5%—8%（含8%）之间的，其审计费用由施工单位承担20%，发包人承担80%；审计核减率在5%及其以下的，其审计费用由发包人承担。承包人提供的所有资料需满足工程备案要求。</w:t>
      </w:r>
    </w:p>
    <w:p>
      <w:pPr>
        <w:widowControl w:val="0"/>
        <w:spacing w:after="0" w:line="400" w:lineRule="exact"/>
        <w:ind w:firstLine="422" w:firstLineChars="200"/>
        <w:jc w:val="both"/>
        <w:rPr>
          <w:rFonts w:ascii="仿宋_GB2312" w:hAnsi="Calibri" w:eastAsia="仿宋_GB2312" w:cs="Times New Roman"/>
          <w:b/>
          <w:kern w:val="2"/>
          <w:sz w:val="21"/>
          <w:szCs w:val="21"/>
        </w:rPr>
      </w:pPr>
      <w:r>
        <w:rPr>
          <w:rFonts w:hint="eastAsia" w:ascii="仿宋_GB2312" w:hAnsi="Calibri" w:eastAsia="仿宋_GB2312" w:cs="Times New Roman"/>
          <w:b/>
          <w:kern w:val="2"/>
          <w:sz w:val="21"/>
          <w:szCs w:val="21"/>
        </w:rPr>
        <w:t>八、保修</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在正常使用条件下，房屋建筑工程的最低保修期限为：屋面防水工程、有防水要求的卫生间、房间和外墙面的防渗漏，为5年；供热与供冷系统，为2个采暖期、供冷期；电气管线、给排水管道、设备安装为2年；装修工程为2年。其他未列明的项目质量保修期为2年。</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2.承包人收到保修通知并到达工程现场的合理时间：</w:t>
      </w:r>
      <w:r>
        <w:rPr>
          <w:rFonts w:hint="eastAsia" w:ascii="仿宋_GB2312" w:hAnsi="Calibri" w:eastAsia="仿宋_GB2312" w:cs="Times New Roman"/>
          <w:kern w:val="2"/>
          <w:sz w:val="21"/>
          <w:szCs w:val="21"/>
          <w:u w:val="single"/>
        </w:rPr>
        <w:t>2小时内</w:t>
      </w:r>
      <w:r>
        <w:rPr>
          <w:rFonts w:hint="eastAsia" w:ascii="仿宋_GB2312" w:hAnsi="Calibri" w:eastAsia="仿宋_GB2312" w:cs="Times New Roman"/>
          <w:kern w:val="2"/>
          <w:sz w:val="21"/>
          <w:szCs w:val="21"/>
        </w:rPr>
        <w:t>。</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九、承诺</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1.发包人承诺按照合同约定的期限和方式支付合同价款。</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2.承包人承诺按照法律规定及合同约定组织完成工程施工，确保工程质量和安全，不进行转包及违法分包，并在缺陷责任期及保修期内承担相应的工程维修责任。</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3.合同履约中，若承包人出现财产损失（非发包人责任）、费用纠纷（与非发包人）、人员伤亡、责任事故等，相关赔偿和法律责任完全由承包人自行承担，与发包人无关。并且，发包有权无偿解除合同。</w:t>
      </w:r>
    </w:p>
    <w:p>
      <w:pPr>
        <w:widowControl w:val="0"/>
        <w:spacing w:after="0" w:line="400" w:lineRule="exact"/>
        <w:ind w:firstLine="422" w:firstLineChars="200"/>
        <w:jc w:val="both"/>
        <w:rPr>
          <w:rFonts w:ascii="仿宋_GB2312" w:hAnsi="Calibri" w:eastAsia="仿宋_GB2312" w:cs="Times New Roman"/>
          <w:b/>
          <w:bCs/>
          <w:kern w:val="2"/>
          <w:sz w:val="21"/>
          <w:szCs w:val="21"/>
        </w:rPr>
      </w:pPr>
      <w:bookmarkStart w:id="185" w:name="_Toc351203489"/>
      <w:r>
        <w:rPr>
          <w:rFonts w:hint="eastAsia" w:ascii="仿宋_GB2312" w:hAnsi="Calibri" w:eastAsia="仿宋_GB2312" w:cs="Times New Roman"/>
          <w:b/>
          <w:bCs/>
          <w:kern w:val="2"/>
          <w:sz w:val="21"/>
          <w:szCs w:val="21"/>
        </w:rPr>
        <w:t>十、签订时间</w:t>
      </w:r>
      <w:bookmarkEnd w:id="185"/>
      <w:r>
        <w:rPr>
          <w:rFonts w:hint="eastAsia" w:ascii="仿宋_GB2312" w:hAnsi="Calibri" w:eastAsia="仿宋_GB2312" w:cs="Times New Roman"/>
          <w:b/>
          <w:bCs/>
          <w:kern w:val="2"/>
          <w:sz w:val="21"/>
          <w:szCs w:val="21"/>
        </w:rPr>
        <w:t>和地点</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本合同于</w:t>
      </w:r>
      <w:r>
        <w:rPr>
          <w:rFonts w:hint="eastAsia" w:ascii="仿宋_GB2312" w:hAnsi="Calibri" w:eastAsia="仿宋_GB2312" w:cs="Times New Roman"/>
          <w:kern w:val="2"/>
          <w:sz w:val="21"/>
          <w:szCs w:val="21"/>
          <w:u w:val="single"/>
        </w:rPr>
        <w:t xml:space="preserve"> 2024 </w:t>
      </w:r>
      <w:r>
        <w:rPr>
          <w:rFonts w:hint="eastAsia" w:ascii="仿宋_GB2312" w:hAnsi="Calibri" w:eastAsia="仿宋_GB2312" w:cs="Times New Roman"/>
          <w:kern w:val="2"/>
          <w:sz w:val="21"/>
          <w:szCs w:val="21"/>
        </w:rPr>
        <w:t>年</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月</w:t>
      </w:r>
      <w:r>
        <w:rPr>
          <w:rFonts w:hint="eastAsia" w:ascii="仿宋_GB2312" w:hAnsi="Calibri" w:eastAsia="仿宋_GB2312" w:cs="Times New Roman"/>
          <w:kern w:val="2"/>
          <w:sz w:val="21"/>
          <w:szCs w:val="21"/>
          <w:u w:val="single"/>
        </w:rPr>
        <w:t xml:space="preserve">    </w:t>
      </w:r>
      <w:r>
        <w:rPr>
          <w:rFonts w:hint="eastAsia" w:ascii="仿宋_GB2312" w:hAnsi="Calibri" w:eastAsia="仿宋_GB2312" w:cs="Times New Roman"/>
          <w:kern w:val="2"/>
          <w:sz w:val="21"/>
          <w:szCs w:val="21"/>
        </w:rPr>
        <w:t>日在</w:t>
      </w:r>
      <w:r>
        <w:rPr>
          <w:rFonts w:hint="eastAsia" w:ascii="仿宋_GB2312" w:hAnsi="Calibri" w:eastAsia="仿宋_GB2312" w:cs="Times New Roman"/>
          <w:kern w:val="2"/>
          <w:sz w:val="21"/>
          <w:szCs w:val="21"/>
          <w:u w:val="single"/>
        </w:rPr>
        <w:t xml:space="preserve"> 南京市 </w:t>
      </w:r>
      <w:r>
        <w:rPr>
          <w:rFonts w:hint="eastAsia" w:ascii="仿宋_GB2312" w:hAnsi="Calibri" w:eastAsia="仿宋_GB2312" w:cs="Times New Roman"/>
          <w:kern w:val="2"/>
          <w:sz w:val="21"/>
          <w:szCs w:val="21"/>
        </w:rPr>
        <w:t>签订。</w:t>
      </w:r>
    </w:p>
    <w:p>
      <w:pPr>
        <w:widowControl w:val="0"/>
        <w:spacing w:after="0" w:line="400" w:lineRule="exact"/>
        <w:ind w:firstLine="422" w:firstLineChars="200"/>
        <w:jc w:val="both"/>
        <w:rPr>
          <w:rFonts w:ascii="仿宋_GB2312" w:hAnsi="Calibri" w:eastAsia="仿宋_GB2312" w:cs="Times New Roman"/>
          <w:b/>
          <w:bCs/>
          <w:kern w:val="2"/>
          <w:sz w:val="21"/>
          <w:szCs w:val="21"/>
        </w:rPr>
      </w:pPr>
      <w:bookmarkStart w:id="186" w:name="_Toc351203492"/>
      <w:r>
        <w:rPr>
          <w:rFonts w:hint="eastAsia" w:ascii="仿宋_GB2312" w:hAnsi="Calibri" w:eastAsia="仿宋_GB2312" w:cs="Times New Roman"/>
          <w:b/>
          <w:bCs/>
          <w:kern w:val="2"/>
          <w:sz w:val="21"/>
          <w:szCs w:val="21"/>
        </w:rPr>
        <w:t>十一、合同生效</w:t>
      </w:r>
      <w:bookmarkEnd w:id="186"/>
      <w:r>
        <w:rPr>
          <w:rFonts w:hint="eastAsia" w:ascii="仿宋_GB2312" w:hAnsi="Calibri" w:eastAsia="仿宋_GB2312" w:cs="Times New Roman"/>
          <w:b/>
          <w:bCs/>
          <w:kern w:val="2"/>
          <w:sz w:val="21"/>
          <w:szCs w:val="21"/>
        </w:rPr>
        <w:t>和争议解决</w:t>
      </w:r>
    </w:p>
    <w:p>
      <w:pPr>
        <w:widowControl w:val="0"/>
        <w:spacing w:after="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本合同自</w:t>
      </w:r>
      <w:r>
        <w:rPr>
          <w:rFonts w:hint="eastAsia" w:ascii="仿宋_GB2312" w:hAnsi="Calibri" w:eastAsia="仿宋_GB2312" w:cs="Times New Roman"/>
          <w:kern w:val="2"/>
          <w:sz w:val="21"/>
          <w:szCs w:val="21"/>
          <w:u w:val="single"/>
        </w:rPr>
        <w:t xml:space="preserve"> 双方签字盖章后 </w:t>
      </w:r>
      <w:r>
        <w:rPr>
          <w:rFonts w:hint="eastAsia" w:ascii="仿宋_GB2312" w:hAnsi="Calibri" w:eastAsia="仿宋_GB2312" w:cs="Times New Roman"/>
          <w:kern w:val="2"/>
          <w:sz w:val="21"/>
          <w:szCs w:val="21"/>
        </w:rPr>
        <w:t>生效。因履行本合同引起的或与本合同有关的争议，发、承包双方应当通过友好协商解决，如果协商不能解决争议的，任何一方均可向工程所在地人民法院提起诉讼。</w:t>
      </w:r>
    </w:p>
    <w:p>
      <w:pPr>
        <w:widowControl w:val="0"/>
        <w:spacing w:after="0" w:line="400" w:lineRule="exact"/>
        <w:ind w:firstLine="422" w:firstLineChars="200"/>
        <w:jc w:val="both"/>
        <w:rPr>
          <w:rFonts w:ascii="仿宋_GB2312" w:hAnsi="Calibri" w:eastAsia="仿宋_GB2312" w:cs="Times New Roman"/>
          <w:b/>
          <w:bCs/>
          <w:kern w:val="2"/>
          <w:sz w:val="21"/>
          <w:szCs w:val="21"/>
        </w:rPr>
      </w:pPr>
      <w:r>
        <w:rPr>
          <w:rFonts w:hint="eastAsia" w:ascii="仿宋_GB2312" w:hAnsi="Calibri" w:eastAsia="仿宋_GB2312" w:cs="Times New Roman"/>
          <w:b/>
          <w:bCs/>
          <w:kern w:val="2"/>
          <w:sz w:val="21"/>
          <w:szCs w:val="21"/>
        </w:rPr>
        <w:t>十三、合同份数</w:t>
      </w:r>
    </w:p>
    <w:p>
      <w:pPr>
        <w:widowControl w:val="0"/>
        <w:spacing w:after="120" w:line="400" w:lineRule="exact"/>
        <w:ind w:firstLine="420" w:firstLineChars="200"/>
        <w:jc w:val="both"/>
        <w:rPr>
          <w:rFonts w:ascii="仿宋_GB2312" w:hAnsi="Calibri" w:eastAsia="仿宋_GB2312" w:cs="Times New Roman"/>
          <w:kern w:val="2"/>
          <w:sz w:val="21"/>
          <w:szCs w:val="21"/>
        </w:rPr>
      </w:pPr>
      <w:r>
        <w:rPr>
          <w:rFonts w:hint="eastAsia" w:ascii="仿宋_GB2312" w:hAnsi="Calibri" w:eastAsia="仿宋_GB2312" w:cs="Times New Roman"/>
          <w:kern w:val="2"/>
          <w:sz w:val="21"/>
          <w:szCs w:val="21"/>
        </w:rPr>
        <w:t>本合同一式</w:t>
      </w:r>
      <w:r>
        <w:rPr>
          <w:rFonts w:hint="eastAsia" w:ascii="仿宋_GB2312" w:hAnsi="Calibri" w:eastAsia="仿宋_GB2312" w:cs="Times New Roman"/>
          <w:kern w:val="2"/>
          <w:sz w:val="21"/>
          <w:szCs w:val="21"/>
          <w:u w:val="single"/>
        </w:rPr>
        <w:t xml:space="preserve"> 陆 </w:t>
      </w:r>
      <w:r>
        <w:rPr>
          <w:rFonts w:hint="eastAsia" w:ascii="仿宋_GB2312" w:hAnsi="Calibri" w:eastAsia="仿宋_GB2312" w:cs="Times New Roman"/>
          <w:kern w:val="2"/>
          <w:sz w:val="21"/>
          <w:szCs w:val="21"/>
        </w:rPr>
        <w:t>份，均具有同等法律效力，发包人执</w:t>
      </w:r>
      <w:r>
        <w:rPr>
          <w:rFonts w:hint="eastAsia" w:ascii="仿宋_GB2312" w:hAnsi="Calibri" w:eastAsia="仿宋_GB2312" w:cs="Times New Roman"/>
          <w:kern w:val="2"/>
          <w:sz w:val="21"/>
          <w:szCs w:val="21"/>
          <w:u w:val="single"/>
        </w:rPr>
        <w:t xml:space="preserve"> 伍 </w:t>
      </w:r>
      <w:r>
        <w:rPr>
          <w:rFonts w:hint="eastAsia" w:ascii="仿宋_GB2312" w:hAnsi="Calibri" w:eastAsia="仿宋_GB2312" w:cs="Times New Roman"/>
          <w:kern w:val="2"/>
          <w:sz w:val="21"/>
          <w:szCs w:val="21"/>
        </w:rPr>
        <w:t>份，承包人执</w:t>
      </w:r>
      <w:r>
        <w:rPr>
          <w:rFonts w:hint="eastAsia" w:ascii="仿宋_GB2312" w:hAnsi="Calibri" w:eastAsia="仿宋_GB2312" w:cs="Times New Roman"/>
          <w:kern w:val="2"/>
          <w:sz w:val="21"/>
          <w:szCs w:val="21"/>
          <w:u w:val="single"/>
        </w:rPr>
        <w:t xml:space="preserve"> 壹 </w:t>
      </w:r>
      <w:r>
        <w:rPr>
          <w:rFonts w:hint="eastAsia" w:ascii="仿宋_GB2312" w:hAnsi="Calibri" w:eastAsia="仿宋_GB2312" w:cs="Times New Roman"/>
          <w:kern w:val="2"/>
          <w:sz w:val="21"/>
          <w:szCs w:val="21"/>
        </w:rPr>
        <w:t>份。</w:t>
      </w:r>
    </w:p>
    <w:tbl>
      <w:tblPr>
        <w:tblStyle w:val="23"/>
        <w:tblW w:w="9285" w:type="dxa"/>
        <w:jc w:val="center"/>
        <w:tblLayout w:type="fixed"/>
        <w:tblCellMar>
          <w:top w:w="0" w:type="dxa"/>
          <w:left w:w="108" w:type="dxa"/>
          <w:bottom w:w="0" w:type="dxa"/>
          <w:right w:w="108" w:type="dxa"/>
        </w:tblCellMar>
      </w:tblPr>
      <w:tblGrid>
        <w:gridCol w:w="4666"/>
        <w:gridCol w:w="4619"/>
      </w:tblGrid>
      <w:tr>
        <w:tblPrEx>
          <w:tblCellMar>
            <w:top w:w="0" w:type="dxa"/>
            <w:left w:w="108" w:type="dxa"/>
            <w:bottom w:w="0" w:type="dxa"/>
            <w:right w:w="108" w:type="dxa"/>
          </w:tblCellMar>
        </w:tblPrEx>
        <w:trPr>
          <w:trHeight w:val="397" w:hRule="atLeast"/>
          <w:jc w:val="center"/>
        </w:trPr>
        <w:tc>
          <w:tcPr>
            <w:tcW w:w="4667" w:type="dxa"/>
          </w:tcPr>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发包人：南京医科大学 (公章)  </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法定代表人或其委托代理人：</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（签字）</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组织机构代码：12320000466007132M</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地  址：南京市江宁区龙眠大道101号</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邮政编码：211166</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开户银行：南京市工行汉中门支行</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账  号：4301010109001038622</w:t>
            </w:r>
          </w:p>
        </w:tc>
        <w:tc>
          <w:tcPr>
            <w:tcW w:w="4620" w:type="dxa"/>
          </w:tcPr>
          <w:p>
            <w:pPr>
              <w:widowControl w:val="0"/>
              <w:adjustRightInd/>
              <w:snapToGrid/>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承包人：  (公章)</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法定代表人或其委托代理人：</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（签字）</w:t>
            </w:r>
          </w:p>
          <w:p>
            <w:pPr>
              <w:widowControl w:val="0"/>
              <w:spacing w:after="0" w:line="400" w:lineRule="exact"/>
              <w:jc w:val="both"/>
              <w:rPr>
                <w:rFonts w:ascii="仿宋" w:hAnsi="仿宋" w:eastAsia="仿宋" w:cs="Times New Roman"/>
                <w:kern w:val="2"/>
                <w:sz w:val="21"/>
                <w:szCs w:val="24"/>
              </w:rPr>
            </w:pP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组织机构代码：</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地  址： </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邮政编码：</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开户银行： </w:t>
            </w:r>
          </w:p>
          <w:p>
            <w:pPr>
              <w:widowControl w:val="0"/>
              <w:spacing w:after="0" w:line="400" w:lineRule="exact"/>
              <w:jc w:val="both"/>
              <w:rPr>
                <w:rFonts w:ascii="仿宋" w:hAnsi="仿宋" w:eastAsia="仿宋" w:cs="Times New Roman"/>
                <w:kern w:val="2"/>
                <w:sz w:val="21"/>
                <w:szCs w:val="24"/>
              </w:rPr>
            </w:pPr>
            <w:r>
              <w:rPr>
                <w:rFonts w:hint="eastAsia" w:ascii="仿宋" w:hAnsi="仿宋" w:eastAsia="仿宋" w:cs="Times New Roman"/>
                <w:kern w:val="2"/>
                <w:sz w:val="21"/>
                <w:szCs w:val="24"/>
              </w:rPr>
              <w:t xml:space="preserve">账  号： </w:t>
            </w:r>
          </w:p>
        </w:tc>
      </w:tr>
    </w:tbl>
    <w:p>
      <w:pPr>
        <w:pStyle w:val="32"/>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Fonts w:ascii="宋体" w:hAnsi="宋体"/>
      </w:rPr>
    </w:pPr>
    <w:r>
      <w:rPr>
        <w:rFonts w:ascii="宋体" w:hAnsi="宋体"/>
      </w:rPr>
      <w:fldChar w:fldCharType="begin"/>
    </w:r>
    <w:r>
      <w:rPr>
        <w:rStyle w:val="25"/>
        <w:rFonts w:ascii="宋体" w:hAnsi="宋体"/>
      </w:rPr>
      <w:instrText xml:space="preserve">PAGE  </w:instrText>
    </w:r>
    <w:r>
      <w:rPr>
        <w:rFonts w:ascii="宋体" w:hAnsi="宋体"/>
      </w:rPr>
      <w:fldChar w:fldCharType="separate"/>
    </w:r>
    <w:r>
      <w:rPr>
        <w:rStyle w:val="25"/>
        <w:rFonts w:ascii="宋体" w:hAnsi="宋体"/>
      </w:rPr>
      <w:t>30</w:t>
    </w:r>
    <w:r>
      <w:rPr>
        <w:rFonts w:ascii="宋体" w:hAnsi="宋体"/>
      </w:rPr>
      <w:fldChar w:fldCharType="end"/>
    </w:r>
  </w:p>
  <w:p>
    <w:pPr>
      <w:pStyle w:val="16"/>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E0EE5"/>
    <w:multiLevelType w:val="multilevel"/>
    <w:tmpl w:val="5C7E0EE5"/>
    <w:lvl w:ilvl="0" w:tentative="0">
      <w:start w:val="1"/>
      <w:numFmt w:val="chineseCountingThousand"/>
      <w:pStyle w:val="37"/>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ZDgyY2Y3NmZhYmY2YTBhYTk5ZmUxODk0ODhjZDkzYjUifQ=="/>
  </w:docVars>
  <w:rsids>
    <w:rsidRoot w:val="00D31D50"/>
    <w:rsid w:val="00026CA5"/>
    <w:rsid w:val="000303AC"/>
    <w:rsid w:val="000458DB"/>
    <w:rsid w:val="000508AB"/>
    <w:rsid w:val="00050D10"/>
    <w:rsid w:val="0005267F"/>
    <w:rsid w:val="00053D8C"/>
    <w:rsid w:val="0008466D"/>
    <w:rsid w:val="0009546A"/>
    <w:rsid w:val="000B08EC"/>
    <w:rsid w:val="000B0E83"/>
    <w:rsid w:val="000B538B"/>
    <w:rsid w:val="000D0163"/>
    <w:rsid w:val="00101A8A"/>
    <w:rsid w:val="001225B3"/>
    <w:rsid w:val="00124A3C"/>
    <w:rsid w:val="001275A3"/>
    <w:rsid w:val="00141840"/>
    <w:rsid w:val="001462A9"/>
    <w:rsid w:val="0016026B"/>
    <w:rsid w:val="00160DA2"/>
    <w:rsid w:val="00167738"/>
    <w:rsid w:val="0018443B"/>
    <w:rsid w:val="001925D7"/>
    <w:rsid w:val="00196E92"/>
    <w:rsid w:val="001A049C"/>
    <w:rsid w:val="001B0811"/>
    <w:rsid w:val="001B3A97"/>
    <w:rsid w:val="001B6A78"/>
    <w:rsid w:val="001C20DD"/>
    <w:rsid w:val="001C2F9A"/>
    <w:rsid w:val="001C4B26"/>
    <w:rsid w:val="001D0768"/>
    <w:rsid w:val="001D08C6"/>
    <w:rsid w:val="001D20A7"/>
    <w:rsid w:val="001E4020"/>
    <w:rsid w:val="001F4F63"/>
    <w:rsid w:val="0020432E"/>
    <w:rsid w:val="002070F5"/>
    <w:rsid w:val="00232127"/>
    <w:rsid w:val="002327D4"/>
    <w:rsid w:val="00272CB4"/>
    <w:rsid w:val="002B2FBB"/>
    <w:rsid w:val="002D2055"/>
    <w:rsid w:val="002E26AA"/>
    <w:rsid w:val="00300F88"/>
    <w:rsid w:val="00323B43"/>
    <w:rsid w:val="00327947"/>
    <w:rsid w:val="00335997"/>
    <w:rsid w:val="00347E27"/>
    <w:rsid w:val="0036460C"/>
    <w:rsid w:val="00380B99"/>
    <w:rsid w:val="0038270D"/>
    <w:rsid w:val="003A22E8"/>
    <w:rsid w:val="003B2DF7"/>
    <w:rsid w:val="003D2715"/>
    <w:rsid w:val="003D37D8"/>
    <w:rsid w:val="003E73F7"/>
    <w:rsid w:val="003F3546"/>
    <w:rsid w:val="003F7CC8"/>
    <w:rsid w:val="00401598"/>
    <w:rsid w:val="00411C53"/>
    <w:rsid w:val="00414074"/>
    <w:rsid w:val="00414C13"/>
    <w:rsid w:val="00421D40"/>
    <w:rsid w:val="00424D6F"/>
    <w:rsid w:val="00426133"/>
    <w:rsid w:val="004358AB"/>
    <w:rsid w:val="0043654C"/>
    <w:rsid w:val="0044705E"/>
    <w:rsid w:val="004808C6"/>
    <w:rsid w:val="004A4F2D"/>
    <w:rsid w:val="004A7588"/>
    <w:rsid w:val="004B36BD"/>
    <w:rsid w:val="004B52B3"/>
    <w:rsid w:val="004C7147"/>
    <w:rsid w:val="004E3402"/>
    <w:rsid w:val="004F5C9E"/>
    <w:rsid w:val="005059E0"/>
    <w:rsid w:val="00507CA6"/>
    <w:rsid w:val="005129DB"/>
    <w:rsid w:val="0052799B"/>
    <w:rsid w:val="00542987"/>
    <w:rsid w:val="00557A4D"/>
    <w:rsid w:val="00580D0A"/>
    <w:rsid w:val="00582977"/>
    <w:rsid w:val="00584C9F"/>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80C8A"/>
    <w:rsid w:val="00792482"/>
    <w:rsid w:val="0079316D"/>
    <w:rsid w:val="007947E9"/>
    <w:rsid w:val="007A58F8"/>
    <w:rsid w:val="007F18E6"/>
    <w:rsid w:val="007F226B"/>
    <w:rsid w:val="007F5A05"/>
    <w:rsid w:val="0083003C"/>
    <w:rsid w:val="00830E76"/>
    <w:rsid w:val="00841379"/>
    <w:rsid w:val="0085068C"/>
    <w:rsid w:val="008545FA"/>
    <w:rsid w:val="00880122"/>
    <w:rsid w:val="008940B1"/>
    <w:rsid w:val="008B1021"/>
    <w:rsid w:val="008B154E"/>
    <w:rsid w:val="008B7726"/>
    <w:rsid w:val="008C2089"/>
    <w:rsid w:val="008E32C8"/>
    <w:rsid w:val="008F5952"/>
    <w:rsid w:val="008F6FC4"/>
    <w:rsid w:val="008F7663"/>
    <w:rsid w:val="00901E4A"/>
    <w:rsid w:val="00914B43"/>
    <w:rsid w:val="00917C9A"/>
    <w:rsid w:val="009330FF"/>
    <w:rsid w:val="00936C08"/>
    <w:rsid w:val="00937A6C"/>
    <w:rsid w:val="00942F45"/>
    <w:rsid w:val="00945E96"/>
    <w:rsid w:val="00954E6B"/>
    <w:rsid w:val="009569A2"/>
    <w:rsid w:val="00985BBC"/>
    <w:rsid w:val="0099642C"/>
    <w:rsid w:val="009A1ED0"/>
    <w:rsid w:val="009B4528"/>
    <w:rsid w:val="009D140B"/>
    <w:rsid w:val="009E1102"/>
    <w:rsid w:val="009E4FC4"/>
    <w:rsid w:val="009E5541"/>
    <w:rsid w:val="00A02CA7"/>
    <w:rsid w:val="00A478D2"/>
    <w:rsid w:val="00A56BF6"/>
    <w:rsid w:val="00A67624"/>
    <w:rsid w:val="00A719C8"/>
    <w:rsid w:val="00A754E0"/>
    <w:rsid w:val="00A91112"/>
    <w:rsid w:val="00A913BE"/>
    <w:rsid w:val="00AA278C"/>
    <w:rsid w:val="00AB3CFF"/>
    <w:rsid w:val="00AC2325"/>
    <w:rsid w:val="00AC3CE4"/>
    <w:rsid w:val="00AD713B"/>
    <w:rsid w:val="00AE6332"/>
    <w:rsid w:val="00AF0E8F"/>
    <w:rsid w:val="00B06748"/>
    <w:rsid w:val="00B10D4E"/>
    <w:rsid w:val="00B16014"/>
    <w:rsid w:val="00B300AE"/>
    <w:rsid w:val="00B32830"/>
    <w:rsid w:val="00B33A83"/>
    <w:rsid w:val="00B47081"/>
    <w:rsid w:val="00B4709A"/>
    <w:rsid w:val="00B47424"/>
    <w:rsid w:val="00B531AF"/>
    <w:rsid w:val="00B54479"/>
    <w:rsid w:val="00B60295"/>
    <w:rsid w:val="00B7298F"/>
    <w:rsid w:val="00B76CF2"/>
    <w:rsid w:val="00B9381E"/>
    <w:rsid w:val="00B97749"/>
    <w:rsid w:val="00BB2734"/>
    <w:rsid w:val="00BC7A5C"/>
    <w:rsid w:val="00BD2AED"/>
    <w:rsid w:val="00BD6A49"/>
    <w:rsid w:val="00BD77ED"/>
    <w:rsid w:val="00BE0391"/>
    <w:rsid w:val="00BE552F"/>
    <w:rsid w:val="00BE6C82"/>
    <w:rsid w:val="00BE7284"/>
    <w:rsid w:val="00BF3F02"/>
    <w:rsid w:val="00C13584"/>
    <w:rsid w:val="00C30C20"/>
    <w:rsid w:val="00C37CD4"/>
    <w:rsid w:val="00C40E65"/>
    <w:rsid w:val="00C50175"/>
    <w:rsid w:val="00C541CB"/>
    <w:rsid w:val="00C55166"/>
    <w:rsid w:val="00C76558"/>
    <w:rsid w:val="00C86FD4"/>
    <w:rsid w:val="00D15BC5"/>
    <w:rsid w:val="00D278D7"/>
    <w:rsid w:val="00D31D50"/>
    <w:rsid w:val="00D53633"/>
    <w:rsid w:val="00D55D24"/>
    <w:rsid w:val="00D56CB6"/>
    <w:rsid w:val="00D61AE7"/>
    <w:rsid w:val="00D634CC"/>
    <w:rsid w:val="00D9005C"/>
    <w:rsid w:val="00DA1746"/>
    <w:rsid w:val="00DA1D6A"/>
    <w:rsid w:val="00DA4334"/>
    <w:rsid w:val="00DB5FD8"/>
    <w:rsid w:val="00DD1B19"/>
    <w:rsid w:val="00DD78D1"/>
    <w:rsid w:val="00DE05FA"/>
    <w:rsid w:val="00DE421A"/>
    <w:rsid w:val="00DF12D7"/>
    <w:rsid w:val="00E011DE"/>
    <w:rsid w:val="00E14FB9"/>
    <w:rsid w:val="00E31BD3"/>
    <w:rsid w:val="00E34600"/>
    <w:rsid w:val="00E52BFB"/>
    <w:rsid w:val="00E7796D"/>
    <w:rsid w:val="00E81B75"/>
    <w:rsid w:val="00EB14E9"/>
    <w:rsid w:val="00EB187E"/>
    <w:rsid w:val="00F04061"/>
    <w:rsid w:val="00F060BA"/>
    <w:rsid w:val="00F14151"/>
    <w:rsid w:val="00F30A36"/>
    <w:rsid w:val="00F4455E"/>
    <w:rsid w:val="00F5231B"/>
    <w:rsid w:val="00F94053"/>
    <w:rsid w:val="00F952C2"/>
    <w:rsid w:val="00FA4F5F"/>
    <w:rsid w:val="00FB608D"/>
    <w:rsid w:val="00FD4A32"/>
    <w:rsid w:val="00FF44F0"/>
    <w:rsid w:val="00FF7A26"/>
    <w:rsid w:val="02192175"/>
    <w:rsid w:val="0288383F"/>
    <w:rsid w:val="03124503"/>
    <w:rsid w:val="03806F86"/>
    <w:rsid w:val="05013D57"/>
    <w:rsid w:val="050F5ABF"/>
    <w:rsid w:val="059A426D"/>
    <w:rsid w:val="06316315"/>
    <w:rsid w:val="0728596A"/>
    <w:rsid w:val="09195451"/>
    <w:rsid w:val="0BA529A6"/>
    <w:rsid w:val="0BAD28E2"/>
    <w:rsid w:val="0BD83EF3"/>
    <w:rsid w:val="0C8C0749"/>
    <w:rsid w:val="0E310E85"/>
    <w:rsid w:val="10323DD8"/>
    <w:rsid w:val="117308F2"/>
    <w:rsid w:val="130628D8"/>
    <w:rsid w:val="15A74176"/>
    <w:rsid w:val="15B825AF"/>
    <w:rsid w:val="15BD61B1"/>
    <w:rsid w:val="15D90467"/>
    <w:rsid w:val="15E52C78"/>
    <w:rsid w:val="17680005"/>
    <w:rsid w:val="1AC947BB"/>
    <w:rsid w:val="1ADA6B24"/>
    <w:rsid w:val="1DF75C3F"/>
    <w:rsid w:val="1DFC1574"/>
    <w:rsid w:val="1F5844BB"/>
    <w:rsid w:val="1FD45B0E"/>
    <w:rsid w:val="1FF22B62"/>
    <w:rsid w:val="210E5779"/>
    <w:rsid w:val="23457BEE"/>
    <w:rsid w:val="23FD5028"/>
    <w:rsid w:val="250871D8"/>
    <w:rsid w:val="26551754"/>
    <w:rsid w:val="286914E7"/>
    <w:rsid w:val="287D1F4F"/>
    <w:rsid w:val="29C0782D"/>
    <w:rsid w:val="2AB949A8"/>
    <w:rsid w:val="2B3D38EA"/>
    <w:rsid w:val="2B465B0F"/>
    <w:rsid w:val="2CAB751D"/>
    <w:rsid w:val="2DE7182C"/>
    <w:rsid w:val="2E34583A"/>
    <w:rsid w:val="2E35075D"/>
    <w:rsid w:val="2EC23D51"/>
    <w:rsid w:val="30CA3C63"/>
    <w:rsid w:val="316B4D20"/>
    <w:rsid w:val="325A64E5"/>
    <w:rsid w:val="32A1627D"/>
    <w:rsid w:val="33F83BA6"/>
    <w:rsid w:val="341B1FD6"/>
    <w:rsid w:val="34DD74E5"/>
    <w:rsid w:val="35C02341"/>
    <w:rsid w:val="36056CF3"/>
    <w:rsid w:val="381E5E4A"/>
    <w:rsid w:val="38DB1F8D"/>
    <w:rsid w:val="38F32C47"/>
    <w:rsid w:val="39AD7EAE"/>
    <w:rsid w:val="3BAE4121"/>
    <w:rsid w:val="3C0C36B9"/>
    <w:rsid w:val="3D4520CB"/>
    <w:rsid w:val="3DE74F30"/>
    <w:rsid w:val="3E1000F5"/>
    <w:rsid w:val="3EAD617A"/>
    <w:rsid w:val="3EB20F1F"/>
    <w:rsid w:val="401C1D68"/>
    <w:rsid w:val="41650F8E"/>
    <w:rsid w:val="42324973"/>
    <w:rsid w:val="42B75819"/>
    <w:rsid w:val="43FB56B5"/>
    <w:rsid w:val="443B7D84"/>
    <w:rsid w:val="447F00CA"/>
    <w:rsid w:val="452B0F7B"/>
    <w:rsid w:val="457E261E"/>
    <w:rsid w:val="462C02CC"/>
    <w:rsid w:val="47E50732"/>
    <w:rsid w:val="47F46BC7"/>
    <w:rsid w:val="48350BE0"/>
    <w:rsid w:val="48CD2940"/>
    <w:rsid w:val="4A057A92"/>
    <w:rsid w:val="4B27013B"/>
    <w:rsid w:val="4B6A37B8"/>
    <w:rsid w:val="4CCB7C2E"/>
    <w:rsid w:val="4DC32E36"/>
    <w:rsid w:val="4E1A3E08"/>
    <w:rsid w:val="4ED4153B"/>
    <w:rsid w:val="4FF0236A"/>
    <w:rsid w:val="52CD374A"/>
    <w:rsid w:val="530B6ED8"/>
    <w:rsid w:val="55113646"/>
    <w:rsid w:val="554B1E2C"/>
    <w:rsid w:val="5552317F"/>
    <w:rsid w:val="555962BC"/>
    <w:rsid w:val="55F06DD1"/>
    <w:rsid w:val="560079AE"/>
    <w:rsid w:val="56914581"/>
    <w:rsid w:val="56D54068"/>
    <w:rsid w:val="5712706A"/>
    <w:rsid w:val="57194839"/>
    <w:rsid w:val="57C2639A"/>
    <w:rsid w:val="57DC2E04"/>
    <w:rsid w:val="58D91C15"/>
    <w:rsid w:val="58DA7713"/>
    <w:rsid w:val="58E36743"/>
    <w:rsid w:val="58EA204C"/>
    <w:rsid w:val="595A2602"/>
    <w:rsid w:val="59BE58D6"/>
    <w:rsid w:val="59EC7614"/>
    <w:rsid w:val="5AA57CF0"/>
    <w:rsid w:val="5B1D774E"/>
    <w:rsid w:val="5CD602D0"/>
    <w:rsid w:val="5E0F35C8"/>
    <w:rsid w:val="61A37367"/>
    <w:rsid w:val="63A728E8"/>
    <w:rsid w:val="63EB0A27"/>
    <w:rsid w:val="6401649C"/>
    <w:rsid w:val="651421FF"/>
    <w:rsid w:val="65672973"/>
    <w:rsid w:val="65D10D73"/>
    <w:rsid w:val="65D331AD"/>
    <w:rsid w:val="66285D46"/>
    <w:rsid w:val="66763171"/>
    <w:rsid w:val="669058B5"/>
    <w:rsid w:val="688212E4"/>
    <w:rsid w:val="694A4441"/>
    <w:rsid w:val="695D5F23"/>
    <w:rsid w:val="69B71F24"/>
    <w:rsid w:val="6B151116"/>
    <w:rsid w:val="6B7D28AC"/>
    <w:rsid w:val="6C183EE9"/>
    <w:rsid w:val="6C67485E"/>
    <w:rsid w:val="6D323B6A"/>
    <w:rsid w:val="6D371181"/>
    <w:rsid w:val="6D750FCF"/>
    <w:rsid w:val="6DF36786"/>
    <w:rsid w:val="6EFA125B"/>
    <w:rsid w:val="702B69E4"/>
    <w:rsid w:val="70F16A74"/>
    <w:rsid w:val="72271096"/>
    <w:rsid w:val="73245490"/>
    <w:rsid w:val="740C25B6"/>
    <w:rsid w:val="762D3933"/>
    <w:rsid w:val="77503840"/>
    <w:rsid w:val="775070C7"/>
    <w:rsid w:val="775841CD"/>
    <w:rsid w:val="786B40D1"/>
    <w:rsid w:val="78FF3B59"/>
    <w:rsid w:val="79470FD3"/>
    <w:rsid w:val="7B4A006D"/>
    <w:rsid w:val="7C0E40F6"/>
    <w:rsid w:val="7C4D1479"/>
    <w:rsid w:val="7E6A61C2"/>
    <w:rsid w:val="7F453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5">
    <w:name w:val="heading 1"/>
    <w:basedOn w:val="1"/>
    <w:next w:val="1"/>
    <w:link w:val="30"/>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6">
    <w:name w:val="heading 2"/>
    <w:basedOn w:val="1"/>
    <w:next w:val="1"/>
    <w:link w:val="44"/>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8"/>
    <w:link w:val="33"/>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9">
    <w:name w:val="heading 4"/>
    <w:basedOn w:val="1"/>
    <w:next w:val="1"/>
    <w:link w:val="34"/>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widowControl w:val="0"/>
      <w:ind w:firstLine="420" w:firstLineChars="200"/>
      <w:jc w:val="both"/>
    </w:pPr>
    <w:rPr>
      <w:rFonts w:ascii="Calibri" w:hAnsi="Calibri" w:cs="Calibri"/>
      <w:kern w:val="2"/>
      <w:sz w:val="21"/>
    </w:rPr>
  </w:style>
  <w:style w:type="paragraph" w:styleId="3">
    <w:name w:val="Body Text Indent"/>
    <w:basedOn w:val="1"/>
    <w:next w:val="4"/>
    <w:autoRedefine/>
    <w:qFormat/>
    <w:uiPriority w:val="0"/>
    <w:pPr>
      <w:spacing w:line="440" w:lineRule="exact"/>
      <w:ind w:firstLine="403" w:firstLineChars="192"/>
    </w:pPr>
    <w:rPr>
      <w:rFonts w:ascii="宋体" w:hAnsi="宋体" w:eastAsia="宋体" w:cs="宋体"/>
      <w:szCs w:val="21"/>
    </w:rPr>
  </w:style>
  <w:style w:type="paragraph" w:styleId="4">
    <w:name w:val="envelope return"/>
    <w:basedOn w:val="1"/>
    <w:autoRedefine/>
    <w:qFormat/>
    <w:uiPriority w:val="0"/>
    <w:rPr>
      <w:rFonts w:ascii="Arial" w:hAnsi="Arial"/>
    </w:rPr>
  </w:style>
  <w:style w:type="paragraph" w:styleId="8">
    <w:name w:val="Normal Indent"/>
    <w:basedOn w:val="1"/>
    <w:link w:val="39"/>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10">
    <w:name w:val="annotation text"/>
    <w:basedOn w:val="1"/>
    <w:link w:val="58"/>
    <w:autoRedefine/>
    <w:semiHidden/>
    <w:unhideWhenUsed/>
    <w:qFormat/>
    <w:uiPriority w:val="99"/>
  </w:style>
  <w:style w:type="paragraph" w:styleId="11">
    <w:name w:val="Body Text"/>
    <w:basedOn w:val="1"/>
    <w:next w:val="1"/>
    <w:link w:val="49"/>
    <w:autoRedefine/>
    <w:qFormat/>
    <w:uiPriority w:val="0"/>
    <w:pPr>
      <w:widowControl w:val="0"/>
      <w:adjustRightInd/>
      <w:snapToGrid/>
      <w:spacing w:after="0"/>
      <w:jc w:val="both"/>
    </w:pPr>
    <w:rPr>
      <w:rFonts w:ascii="楷体_GB2312" w:hAnsi="Arial" w:eastAsia="楷体_GB2312"/>
      <w:kern w:val="2"/>
      <w:sz w:val="28"/>
      <w:szCs w:val="28"/>
    </w:rPr>
  </w:style>
  <w:style w:type="paragraph" w:styleId="12">
    <w:name w:val="Block Text"/>
    <w:basedOn w:val="1"/>
    <w:next w:val="1"/>
    <w:autoRedefine/>
    <w:qFormat/>
    <w:uiPriority w:val="0"/>
    <w:pPr>
      <w:autoSpaceDE w:val="0"/>
      <w:autoSpaceDN w:val="0"/>
      <w:spacing w:line="360" w:lineRule="auto"/>
      <w:ind w:left="237" w:right="216" w:firstLine="420"/>
    </w:pPr>
    <w:rPr>
      <w:rFonts w:ascii="宋体" w:hAnsi="宋体"/>
      <w:sz w:val="24"/>
      <w:szCs w:val="21"/>
    </w:rPr>
  </w:style>
  <w:style w:type="paragraph" w:styleId="13">
    <w:name w:val="index 4"/>
    <w:basedOn w:val="1"/>
    <w:next w:val="1"/>
    <w:autoRedefine/>
    <w:qFormat/>
    <w:uiPriority w:val="99"/>
    <w:pPr>
      <w:ind w:left="600" w:leftChars="600"/>
    </w:pPr>
    <w:rPr>
      <w:rFonts w:cs="Times New Roman"/>
    </w:rPr>
  </w:style>
  <w:style w:type="paragraph" w:styleId="14">
    <w:name w:val="Plain Text"/>
    <w:basedOn w:val="1"/>
    <w:link w:val="43"/>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50"/>
    <w:autoRedefine/>
    <w:semiHidden/>
    <w:unhideWhenUsed/>
    <w:qFormat/>
    <w:uiPriority w:val="99"/>
    <w:pPr>
      <w:spacing w:after="0"/>
    </w:pPr>
    <w:rPr>
      <w:sz w:val="18"/>
      <w:szCs w:val="18"/>
    </w:rPr>
  </w:style>
  <w:style w:type="paragraph" w:styleId="16">
    <w:name w:val="footer"/>
    <w:basedOn w:val="1"/>
    <w:link w:val="29"/>
    <w:autoRedefine/>
    <w:unhideWhenUsed/>
    <w:qFormat/>
    <w:uiPriority w:val="99"/>
    <w:pPr>
      <w:tabs>
        <w:tab w:val="center" w:pos="4153"/>
        <w:tab w:val="right" w:pos="8306"/>
      </w:tabs>
    </w:pPr>
    <w:rPr>
      <w:sz w:val="18"/>
      <w:szCs w:val="18"/>
    </w:rPr>
  </w:style>
  <w:style w:type="paragraph" w:styleId="17">
    <w:name w:val="header"/>
    <w:basedOn w:val="1"/>
    <w:link w:val="28"/>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9">
    <w:name w:val="toc 6"/>
    <w:basedOn w:val="1"/>
    <w:next w:val="1"/>
    <w:autoRedefine/>
    <w:unhideWhenUsed/>
    <w:qFormat/>
    <w:uiPriority w:val="39"/>
    <w:rPr>
      <w:rFonts w:ascii="宋体" w:hAnsi="Calibri" w:cs="Times New Roman"/>
      <w:b/>
      <w:color w:val="000000"/>
      <w:sz w:val="24"/>
      <w:szCs w:val="24"/>
      <w:lang w:val="zh-CN"/>
    </w:rPr>
  </w:style>
  <w:style w:type="paragraph" w:styleId="20">
    <w:name w:val="Title"/>
    <w:basedOn w:val="1"/>
    <w:next w:val="1"/>
    <w:link w:val="40"/>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10"/>
    <w:next w:val="10"/>
    <w:link w:val="59"/>
    <w:autoRedefine/>
    <w:semiHidden/>
    <w:unhideWhenUsed/>
    <w:qFormat/>
    <w:uiPriority w:val="99"/>
    <w:rPr>
      <w:b/>
      <w:bCs/>
    </w:rPr>
  </w:style>
  <w:style w:type="paragraph" w:styleId="22">
    <w:name w:val="Body Text First Indent"/>
    <w:basedOn w:val="11"/>
    <w:next w:val="19"/>
    <w:autoRedefine/>
    <w:qFormat/>
    <w:uiPriority w:val="99"/>
    <w:pPr>
      <w:tabs>
        <w:tab w:val="left" w:pos="482"/>
        <w:tab w:val="left" w:pos="2183"/>
        <w:tab w:val="left" w:pos="3884"/>
        <w:tab w:val="left" w:pos="5585"/>
      </w:tabs>
      <w:ind w:firstLine="482"/>
    </w:pPr>
    <w:rPr>
      <w:rFonts w:ascii="Calibri" w:hAnsi="Calibri" w:eastAsia="宋体" w:cs="Times New Roman"/>
      <w:sz w:val="24"/>
    </w:rPr>
  </w:style>
  <w:style w:type="character" w:styleId="25">
    <w:name w:val="page number"/>
    <w:basedOn w:val="24"/>
    <w:autoRedefine/>
    <w:qFormat/>
    <w:uiPriority w:val="0"/>
  </w:style>
  <w:style w:type="character" w:styleId="26">
    <w:name w:val="Hyperlink"/>
    <w:autoRedefine/>
    <w:qFormat/>
    <w:uiPriority w:val="99"/>
    <w:rPr>
      <w:color w:val="0000FF"/>
      <w:u w:val="single"/>
    </w:rPr>
  </w:style>
  <w:style w:type="character" w:styleId="27">
    <w:name w:val="annotation reference"/>
    <w:basedOn w:val="24"/>
    <w:autoRedefine/>
    <w:semiHidden/>
    <w:unhideWhenUsed/>
    <w:qFormat/>
    <w:uiPriority w:val="99"/>
    <w:rPr>
      <w:sz w:val="21"/>
      <w:szCs w:val="21"/>
    </w:rPr>
  </w:style>
  <w:style w:type="character" w:customStyle="1" w:styleId="28">
    <w:name w:val="页眉 Char"/>
    <w:basedOn w:val="24"/>
    <w:link w:val="17"/>
    <w:autoRedefine/>
    <w:qFormat/>
    <w:uiPriority w:val="99"/>
    <w:rPr>
      <w:rFonts w:ascii="Tahoma" w:hAnsi="Tahoma"/>
      <w:sz w:val="18"/>
      <w:szCs w:val="18"/>
    </w:rPr>
  </w:style>
  <w:style w:type="character" w:customStyle="1" w:styleId="29">
    <w:name w:val="页脚 Char"/>
    <w:basedOn w:val="24"/>
    <w:link w:val="16"/>
    <w:autoRedefine/>
    <w:qFormat/>
    <w:uiPriority w:val="99"/>
    <w:rPr>
      <w:rFonts w:ascii="Tahoma" w:hAnsi="Tahoma"/>
      <w:sz w:val="18"/>
      <w:szCs w:val="18"/>
    </w:rPr>
  </w:style>
  <w:style w:type="character" w:customStyle="1" w:styleId="30">
    <w:name w:val="标题 1 Char"/>
    <w:basedOn w:val="24"/>
    <w:link w:val="5"/>
    <w:autoRedefine/>
    <w:qFormat/>
    <w:uiPriority w:val="9"/>
    <w:rPr>
      <w:rFonts w:ascii="楷体_GB2312" w:hAnsi="Times New Roman" w:eastAsia="楷体_GB2312" w:cs="Times New Roman"/>
      <w:kern w:val="2"/>
      <w:sz w:val="28"/>
      <w:szCs w:val="28"/>
    </w:rPr>
  </w:style>
  <w:style w:type="paragraph" w:customStyle="1" w:styleId="31">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32">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33">
    <w:name w:val="标题 3 Char"/>
    <w:basedOn w:val="24"/>
    <w:link w:val="7"/>
    <w:autoRedefine/>
    <w:qFormat/>
    <w:uiPriority w:val="0"/>
    <w:rPr>
      <w:rFonts w:ascii="Times New Roman" w:hAnsi="Times New Roman" w:eastAsia="宋体" w:cs="Times New Roman"/>
      <w:b/>
      <w:bCs/>
      <w:kern w:val="2"/>
      <w:sz w:val="32"/>
      <w:szCs w:val="32"/>
    </w:rPr>
  </w:style>
  <w:style w:type="character" w:customStyle="1" w:styleId="34">
    <w:name w:val="标题 4 Char"/>
    <w:basedOn w:val="24"/>
    <w:link w:val="9"/>
    <w:autoRedefine/>
    <w:qFormat/>
    <w:uiPriority w:val="9"/>
    <w:rPr>
      <w:rFonts w:ascii="Arial" w:hAnsi="Arial" w:eastAsia="黑体" w:cs="Arial"/>
      <w:b/>
      <w:bCs/>
      <w:kern w:val="2"/>
      <w:sz w:val="28"/>
      <w:szCs w:val="28"/>
    </w:rPr>
  </w:style>
  <w:style w:type="character" w:customStyle="1" w:styleId="35">
    <w:name w:val="标题 Char1"/>
    <w:basedOn w:val="24"/>
    <w:autoRedefine/>
    <w:qFormat/>
    <w:uiPriority w:val="0"/>
    <w:rPr>
      <w:rFonts w:ascii="Cambria" w:hAnsi="Cambria"/>
      <w:b/>
      <w:bCs/>
      <w:kern w:val="2"/>
      <w:sz w:val="32"/>
      <w:szCs w:val="32"/>
    </w:rPr>
  </w:style>
  <w:style w:type="character" w:customStyle="1" w:styleId="36">
    <w:name w:val="标题二 Char"/>
    <w:link w:val="37"/>
    <w:autoRedefine/>
    <w:qFormat/>
    <w:uiPriority w:val="0"/>
    <w:rPr>
      <w:rFonts w:ascii="宋体" w:hAnsi="宋体" w:cs="Calibri"/>
      <w:b/>
      <w:color w:val="000000"/>
      <w:kern w:val="1"/>
      <w:sz w:val="28"/>
      <w:szCs w:val="28"/>
    </w:rPr>
  </w:style>
  <w:style w:type="paragraph" w:customStyle="1" w:styleId="37">
    <w:name w:val="标题二"/>
    <w:basedOn w:val="38"/>
    <w:link w:val="36"/>
    <w:autoRedefine/>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8">
    <w:name w:val="List Paragraph"/>
    <w:basedOn w:val="1"/>
    <w:autoRedefine/>
    <w:qFormat/>
    <w:uiPriority w:val="34"/>
    <w:pPr>
      <w:ind w:firstLine="420" w:firstLineChars="200"/>
    </w:pPr>
  </w:style>
  <w:style w:type="character" w:customStyle="1" w:styleId="39">
    <w:name w:val="正文缩进 Char"/>
    <w:link w:val="8"/>
    <w:autoRedefine/>
    <w:qFormat/>
    <w:uiPriority w:val="0"/>
    <w:rPr>
      <w:kern w:val="2"/>
      <w:sz w:val="21"/>
      <w:szCs w:val="21"/>
    </w:rPr>
  </w:style>
  <w:style w:type="character" w:customStyle="1" w:styleId="40">
    <w:name w:val="标题 Char"/>
    <w:basedOn w:val="24"/>
    <w:link w:val="20"/>
    <w:autoRedefine/>
    <w:qFormat/>
    <w:uiPriority w:val="10"/>
    <w:rPr>
      <w:rFonts w:eastAsia="宋体" w:asciiTheme="majorHAnsi" w:hAnsiTheme="majorHAnsi" w:cstheme="majorBidi"/>
      <w:b/>
      <w:bCs/>
      <w:sz w:val="32"/>
      <w:szCs w:val="32"/>
    </w:rPr>
  </w:style>
  <w:style w:type="character" w:customStyle="1" w:styleId="41">
    <w:name w:val="font1"/>
    <w:autoRedefine/>
    <w:qFormat/>
    <w:uiPriority w:val="0"/>
    <w:rPr>
      <w:color w:val="333333"/>
      <w:spacing w:val="450"/>
      <w:sz w:val="18"/>
      <w:szCs w:val="18"/>
      <w:u w:val="none"/>
    </w:rPr>
  </w:style>
  <w:style w:type="character" w:customStyle="1" w:styleId="42">
    <w:name w:val="纯文本 Char"/>
    <w:qFormat/>
    <w:uiPriority w:val="0"/>
    <w:rPr>
      <w:rFonts w:ascii="宋体" w:hAnsi="Courier New" w:cs="Courier New"/>
      <w:kern w:val="2"/>
      <w:sz w:val="21"/>
      <w:szCs w:val="21"/>
    </w:rPr>
  </w:style>
  <w:style w:type="character" w:customStyle="1" w:styleId="43">
    <w:name w:val="纯文本 Char1"/>
    <w:basedOn w:val="24"/>
    <w:link w:val="14"/>
    <w:autoRedefine/>
    <w:semiHidden/>
    <w:qFormat/>
    <w:uiPriority w:val="99"/>
    <w:rPr>
      <w:rFonts w:ascii="宋体" w:hAnsi="Courier New" w:eastAsia="宋体" w:cs="Courier New"/>
      <w:sz w:val="21"/>
      <w:szCs w:val="21"/>
    </w:rPr>
  </w:style>
  <w:style w:type="character" w:customStyle="1" w:styleId="44">
    <w:name w:val="标题 2 Char"/>
    <w:basedOn w:val="24"/>
    <w:link w:val="6"/>
    <w:autoRedefine/>
    <w:semiHidden/>
    <w:qFormat/>
    <w:uiPriority w:val="9"/>
    <w:rPr>
      <w:rFonts w:asciiTheme="majorHAnsi" w:hAnsiTheme="majorHAnsi" w:eastAsiaTheme="majorEastAsia" w:cstheme="majorBidi"/>
      <w:b/>
      <w:bCs/>
      <w:sz w:val="32"/>
      <w:szCs w:val="32"/>
    </w:rPr>
  </w:style>
  <w:style w:type="character" w:customStyle="1" w:styleId="45">
    <w:name w:val="正文文本 Char"/>
    <w:autoRedefine/>
    <w:qFormat/>
    <w:uiPriority w:val="0"/>
    <w:rPr>
      <w:rFonts w:ascii="楷体_GB2312" w:hAnsi="Arial" w:eastAsia="楷体_GB2312"/>
      <w:kern w:val="2"/>
      <w:sz w:val="28"/>
      <w:szCs w:val="28"/>
    </w:rPr>
  </w:style>
  <w:style w:type="character" w:customStyle="1" w:styleId="46">
    <w:name w:val="列出段落 Char"/>
    <w:link w:val="47"/>
    <w:autoRedefine/>
    <w:qFormat/>
    <w:locked/>
    <w:uiPriority w:val="34"/>
    <w:rPr>
      <w:rFonts w:ascii="Calibri" w:hAnsi="Calibri"/>
      <w:sz w:val="24"/>
      <w:szCs w:val="24"/>
      <w:lang w:eastAsia="en-US" w:bidi="en-US"/>
    </w:rPr>
  </w:style>
  <w:style w:type="paragraph" w:customStyle="1" w:styleId="47">
    <w:name w:val="列出段落11"/>
    <w:basedOn w:val="1"/>
    <w:link w:val="46"/>
    <w:autoRedefine/>
    <w:qFormat/>
    <w:uiPriority w:val="34"/>
    <w:pPr>
      <w:adjustRightInd/>
      <w:snapToGrid/>
      <w:spacing w:after="0"/>
      <w:ind w:left="720"/>
      <w:contextualSpacing/>
    </w:pPr>
    <w:rPr>
      <w:rFonts w:ascii="Calibri" w:hAnsi="Calibri"/>
      <w:sz w:val="24"/>
      <w:szCs w:val="24"/>
      <w:lang w:eastAsia="en-US" w:bidi="en-US"/>
    </w:rPr>
  </w:style>
  <w:style w:type="paragraph" w:customStyle="1" w:styleId="48">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9">
    <w:name w:val="正文文本 Char1"/>
    <w:basedOn w:val="24"/>
    <w:link w:val="11"/>
    <w:autoRedefine/>
    <w:semiHidden/>
    <w:qFormat/>
    <w:uiPriority w:val="99"/>
    <w:rPr>
      <w:rFonts w:ascii="Tahoma" w:hAnsi="Tahoma"/>
    </w:rPr>
  </w:style>
  <w:style w:type="character" w:customStyle="1" w:styleId="50">
    <w:name w:val="批注框文本 Char"/>
    <w:basedOn w:val="24"/>
    <w:link w:val="15"/>
    <w:autoRedefine/>
    <w:semiHidden/>
    <w:qFormat/>
    <w:uiPriority w:val="99"/>
    <w:rPr>
      <w:rFonts w:ascii="Tahoma" w:hAnsi="Tahoma"/>
      <w:sz w:val="18"/>
      <w:szCs w:val="18"/>
    </w:rPr>
  </w:style>
  <w:style w:type="paragraph" w:customStyle="1" w:styleId="51">
    <w:name w:val="首行缩进"/>
    <w:basedOn w:val="1"/>
    <w:autoRedefine/>
    <w:qFormat/>
    <w:uiPriority w:val="0"/>
    <w:pPr>
      <w:spacing w:line="360" w:lineRule="auto"/>
      <w:ind w:firstLine="480" w:firstLineChars="200"/>
    </w:pPr>
    <w:rPr>
      <w:rFonts w:hAnsi="宋体" w:cs="宋体"/>
    </w:rPr>
  </w:style>
  <w:style w:type="paragraph" w:customStyle="1" w:styleId="52">
    <w:name w:val="Index4"/>
    <w:basedOn w:val="1"/>
    <w:next w:val="1"/>
    <w:qFormat/>
    <w:uiPriority w:val="0"/>
    <w:pPr>
      <w:ind w:left="600" w:leftChars="600"/>
    </w:pPr>
    <w:rPr>
      <w:rFonts w:ascii="Verdana" w:hAnsi="Verdana"/>
      <w:szCs w:val="20"/>
    </w:rPr>
  </w:style>
  <w:style w:type="character" w:customStyle="1" w:styleId="53">
    <w:name w:val="font21"/>
    <w:basedOn w:val="24"/>
    <w:qFormat/>
    <w:uiPriority w:val="0"/>
    <w:rPr>
      <w:rFonts w:hint="eastAsia" w:ascii="宋体" w:hAnsi="宋体" w:eastAsia="宋体" w:cs="宋体"/>
      <w:b/>
      <w:bCs/>
      <w:color w:val="000000"/>
      <w:sz w:val="24"/>
      <w:szCs w:val="24"/>
      <w:u w:val="none"/>
    </w:rPr>
  </w:style>
  <w:style w:type="character" w:customStyle="1" w:styleId="54">
    <w:name w:val="font71"/>
    <w:basedOn w:val="24"/>
    <w:autoRedefine/>
    <w:qFormat/>
    <w:uiPriority w:val="0"/>
    <w:rPr>
      <w:rFonts w:hint="default" w:ascii="Times New Roman" w:hAnsi="Times New Roman" w:cs="Times New Roman"/>
      <w:b/>
      <w:bCs/>
      <w:color w:val="000000"/>
      <w:sz w:val="24"/>
      <w:szCs w:val="24"/>
      <w:u w:val="none"/>
    </w:rPr>
  </w:style>
  <w:style w:type="character" w:customStyle="1" w:styleId="55">
    <w:name w:val="font41"/>
    <w:basedOn w:val="24"/>
    <w:autoRedefine/>
    <w:qFormat/>
    <w:uiPriority w:val="0"/>
    <w:rPr>
      <w:rFonts w:ascii="Arial Unicode MS" w:hAnsi="Arial Unicode MS" w:eastAsia="Arial Unicode MS" w:cs="Arial Unicode MS"/>
      <w:b/>
      <w:bCs/>
      <w:color w:val="000000"/>
      <w:sz w:val="24"/>
      <w:szCs w:val="24"/>
      <w:u w:val="none"/>
    </w:rPr>
  </w:style>
  <w:style w:type="paragraph" w:customStyle="1" w:styleId="56">
    <w:name w:val="Style1"/>
    <w:basedOn w:val="1"/>
    <w:autoRedefine/>
    <w:qFormat/>
    <w:uiPriority w:val="0"/>
    <w:pPr>
      <w:tabs>
        <w:tab w:val="left" w:pos="-720"/>
      </w:tabs>
      <w:spacing w:after="120"/>
    </w:pPr>
    <w:rPr>
      <w:rFonts w:ascii="Times New Roman" w:hAnsi="Times New Roman" w:eastAsia="宋体" w:cs="Times New Roman"/>
      <w:spacing w:val="-3"/>
      <w:sz w:val="24"/>
      <w:szCs w:val="20"/>
      <w:lang w:val="en-AU" w:eastAsia="en-US"/>
    </w:rPr>
  </w:style>
  <w:style w:type="paragraph" w:customStyle="1" w:styleId="57">
    <w:name w:val="表格"/>
    <w:basedOn w:val="1"/>
    <w:autoRedefine/>
    <w:qFormat/>
    <w:uiPriority w:val="0"/>
    <w:pPr>
      <w:jc w:val="center"/>
      <w:textAlignment w:val="center"/>
    </w:pPr>
    <w:rPr>
      <w:rFonts w:ascii="华文细黑" w:hAnsi="华文细黑"/>
    </w:rPr>
  </w:style>
  <w:style w:type="character" w:customStyle="1" w:styleId="58">
    <w:name w:val="批注文字 Char"/>
    <w:basedOn w:val="24"/>
    <w:link w:val="10"/>
    <w:semiHidden/>
    <w:qFormat/>
    <w:uiPriority w:val="99"/>
    <w:rPr>
      <w:rFonts w:ascii="Tahoma" w:hAnsi="Tahoma" w:eastAsia="微软雅黑" w:cstheme="minorBidi"/>
      <w:sz w:val="22"/>
      <w:szCs w:val="22"/>
    </w:rPr>
  </w:style>
  <w:style w:type="character" w:customStyle="1" w:styleId="59">
    <w:name w:val="批注主题 Char"/>
    <w:basedOn w:val="58"/>
    <w:link w:val="21"/>
    <w:semiHidden/>
    <w:qFormat/>
    <w:uiPriority w:val="99"/>
    <w:rPr>
      <w:rFonts w:ascii="Tahoma" w:hAnsi="Tahoma" w:eastAsia="微软雅黑" w:cstheme="minorBidi"/>
      <w:b/>
      <w:bCs/>
      <w:sz w:val="2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E2C45F6-CEA5-4A31-9A17-12EB1C3F268C}">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17694</Words>
  <Characters>19323</Characters>
  <Lines>153</Lines>
  <Paragraphs>43</Paragraphs>
  <TotalTime>32</TotalTime>
  <ScaleCrop>false</ScaleCrop>
  <LinksUpToDate>false</LinksUpToDate>
  <CharactersWithSpaces>20219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dc:creator>
  <cp:lastModifiedBy>何龙</cp:lastModifiedBy>
  <dcterms:modified xsi:type="dcterms:W3CDTF">2024-05-21T06:32:09Z</dcterms:modified>
  <cp:revision>484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B36014F9D38247439A7FB781C95A567F_13</vt:lpwstr>
  </property>
</Properties>
</file>