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auto"/>
          <w:sz w:val="28"/>
          <w:szCs w:val="28"/>
          <w:lang w:eastAsia="zh-CN"/>
        </w:rPr>
      </w:pPr>
      <w:r>
        <w:rPr>
          <w:rFonts w:hint="eastAsia" w:ascii="宋体" w:hAnsi="宋体" w:cs="宋体"/>
          <w:color w:val="auto"/>
          <w:sz w:val="36"/>
          <w:szCs w:val="36"/>
          <w:lang w:val="en-US" w:eastAsia="zh-CN"/>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bookmarkStart w:id="35" w:name="_GoBack"/>
      <w:r>
        <w:rPr>
          <w:rFonts w:hint="eastAsia" w:ascii="宋体" w:hAnsi="宋体" w:cs="宋体"/>
          <w:color w:val="auto"/>
          <w:szCs w:val="21"/>
          <w:u w:val="single"/>
          <w:lang w:eastAsia="zh-CN"/>
        </w:rPr>
        <w:t>南京医科大学疫苗平台全自动核酸电泳分析回收系统采购项目（二次）</w:t>
      </w:r>
      <w:bookmarkEnd w:id="35"/>
      <w:r>
        <w:rPr>
          <w:rFonts w:hint="eastAsia" w:ascii="宋体" w:hAnsi="宋体" w:cs="宋体"/>
          <w:color w:val="auto"/>
          <w:szCs w:val="21"/>
        </w:rPr>
        <w:t>招标项目的潜在投标人应在</w:t>
      </w:r>
      <w:r>
        <w:rPr>
          <w:rFonts w:hint="eastAsia" w:ascii="宋体" w:hAnsi="宋体" w:cs="宋体"/>
          <w:color w:val="auto"/>
          <w:szCs w:val="21"/>
          <w:u w:val="single"/>
        </w:rPr>
        <w:t>南京市中山路99号12楼1212室</w:t>
      </w:r>
      <w:r>
        <w:rPr>
          <w:rFonts w:hint="eastAsia" w:ascii="宋体" w:hAnsi="宋体" w:cs="宋体"/>
          <w:color w:val="auto"/>
          <w:szCs w:val="21"/>
        </w:rPr>
        <w:t>获取招标文件，</w:t>
      </w:r>
      <w:r>
        <w:rPr>
          <w:rFonts w:hint="eastAsia" w:ascii="宋体" w:hAnsi="宋体" w:cs="宋体"/>
          <w:color w:val="auto"/>
          <w:szCs w:val="21"/>
          <w:highlight w:val="none"/>
        </w:rPr>
        <w:t>并于</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（北京时间）前</w:t>
      </w:r>
      <w:r>
        <w:rPr>
          <w:rFonts w:hint="eastAsia" w:ascii="宋体" w:hAnsi="宋体" w:cs="宋体"/>
          <w:color w:val="auto"/>
          <w:szCs w:val="21"/>
        </w:rPr>
        <w:t>递交投标文件。</w:t>
      </w:r>
    </w:p>
    <w:p w14:paraId="280D43EC">
      <w:pPr>
        <w:spacing w:line="360" w:lineRule="auto"/>
        <w:jc w:val="left"/>
        <w:rPr>
          <w:rFonts w:ascii="宋体" w:hAnsi="宋体" w:cs="宋体"/>
          <w:color w:val="auto"/>
          <w:szCs w:val="21"/>
        </w:rPr>
      </w:pPr>
      <w:bookmarkStart w:id="0" w:name="_Toc35393621"/>
      <w:bookmarkStart w:id="1" w:name="_Toc28359002"/>
      <w:bookmarkStart w:id="2" w:name="_Toc28359079"/>
      <w:bookmarkStart w:id="3" w:name="_Toc35393790"/>
      <w:bookmarkStart w:id="4" w:name="_Hlk24379207"/>
      <w:r>
        <w:rPr>
          <w:rFonts w:hint="eastAsia" w:ascii="宋体" w:hAnsi="宋体" w:cs="宋体"/>
          <w:color w:val="auto"/>
          <w:szCs w:val="21"/>
        </w:rPr>
        <w:t>一、项目基本情况</w:t>
      </w:r>
      <w:bookmarkEnd w:id="0"/>
      <w:bookmarkEnd w:id="1"/>
      <w:bookmarkEnd w:id="2"/>
      <w:bookmarkEnd w:id="3"/>
    </w:p>
    <w:p w14:paraId="23F96A6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项目编号：SNZX-</w:t>
      </w:r>
      <w:r>
        <w:rPr>
          <w:rFonts w:hint="eastAsia" w:ascii="宋体" w:hAnsi="宋体" w:cs="宋体"/>
          <w:color w:val="auto"/>
          <w:szCs w:val="21"/>
          <w:lang w:eastAsia="zh-CN"/>
        </w:rPr>
        <w:t>20240361</w:t>
      </w:r>
      <w:r>
        <w:rPr>
          <w:rFonts w:hint="eastAsia" w:ascii="宋体" w:hAnsi="宋体" w:cs="宋体"/>
          <w:color w:val="auto"/>
          <w:szCs w:val="21"/>
        </w:rPr>
        <w:t xml:space="preserve"> </w:t>
      </w:r>
    </w:p>
    <w:p w14:paraId="749C903E">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项目名称</w:t>
      </w:r>
      <w:bookmarkEnd w:id="4"/>
      <w:r>
        <w:rPr>
          <w:rFonts w:hint="eastAsia" w:ascii="宋体" w:hAnsi="宋体" w:cs="宋体"/>
          <w:color w:val="auto"/>
          <w:szCs w:val="21"/>
        </w:rPr>
        <w:t>：</w:t>
      </w:r>
      <w:r>
        <w:rPr>
          <w:rFonts w:hint="eastAsia" w:ascii="宋体" w:hAnsi="宋体" w:cs="宋体"/>
          <w:color w:val="auto"/>
          <w:szCs w:val="21"/>
          <w:lang w:eastAsia="zh-CN"/>
        </w:rPr>
        <w:t>南京医科大学疫苗平台全自动核酸电泳分析回收系统采购项目（二次）</w:t>
      </w:r>
    </w:p>
    <w:p w14:paraId="55534FC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val="en-US" w:eastAsia="zh-CN"/>
        </w:rPr>
        <w:t>75</w:t>
      </w:r>
      <w:r>
        <w:rPr>
          <w:rFonts w:hint="eastAsia" w:ascii="宋体" w:hAnsi="宋体" w:cs="宋体"/>
          <w:color w:val="auto"/>
          <w:szCs w:val="21"/>
        </w:rPr>
        <w:t>万元</w:t>
      </w:r>
    </w:p>
    <w:p w14:paraId="20F793C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75</w:t>
      </w:r>
      <w:r>
        <w:rPr>
          <w:rFonts w:hint="eastAsia" w:ascii="宋体" w:hAnsi="宋体" w:cs="宋体"/>
          <w:color w:val="auto"/>
          <w:szCs w:val="21"/>
        </w:rPr>
        <w:t>万元，投标报价超过最高限价的为无效投标。</w:t>
      </w:r>
    </w:p>
    <w:p w14:paraId="6EEFC49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采购需求：</w:t>
      </w:r>
      <w:r>
        <w:rPr>
          <w:rFonts w:hint="eastAsia" w:ascii="宋体" w:hAnsi="宋体" w:cs="宋体"/>
          <w:color w:val="auto"/>
          <w:szCs w:val="21"/>
          <w:lang w:eastAsia="zh-CN"/>
        </w:rPr>
        <w:t>南京医科大学疫苗平台全自动核酸电泳分析回收系统采购项目</w:t>
      </w:r>
      <w:r>
        <w:rPr>
          <w:rFonts w:hint="eastAsia" w:ascii="宋体" w:hAnsi="宋体" w:cs="宋体"/>
          <w:color w:val="auto"/>
          <w:szCs w:val="21"/>
        </w:rPr>
        <w:t>，具体详见招标文件。</w:t>
      </w:r>
    </w:p>
    <w:p w14:paraId="4345176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合同履行期限（交货期）：</w:t>
      </w:r>
      <w:bookmarkStart w:id="5" w:name="OLE_LINK4"/>
      <w:bookmarkStart w:id="6" w:name="_Toc35393791"/>
      <w:bookmarkStart w:id="7" w:name="_Toc35393622"/>
      <w:bookmarkStart w:id="8" w:name="_Toc28359080"/>
      <w:bookmarkStart w:id="9" w:name="_Toc28359003"/>
      <w:r>
        <w:rPr>
          <w:rFonts w:hint="eastAsia" w:ascii="宋体" w:hAnsi="宋体"/>
          <w:bCs/>
          <w:color w:val="auto"/>
          <w:kern w:val="0"/>
          <w:szCs w:val="21"/>
        </w:rPr>
        <w:t>合同签订生效后，进口设</w:t>
      </w:r>
      <w:bookmarkStart w:id="10" w:name="OLE_LINK3"/>
      <w:r>
        <w:rPr>
          <w:rFonts w:hint="eastAsia" w:ascii="宋体" w:hAnsi="宋体"/>
          <w:bCs/>
          <w:color w:val="auto"/>
          <w:kern w:val="0"/>
          <w:szCs w:val="21"/>
        </w:rPr>
        <w:t>备（免税）</w:t>
      </w:r>
      <w:bookmarkStart w:id="11" w:name="OLE_LINK1"/>
      <w:r>
        <w:rPr>
          <w:rFonts w:hint="eastAsia" w:ascii="宋体" w:hAnsi="宋体"/>
          <w:bCs/>
          <w:color w:val="auto"/>
          <w:kern w:val="0"/>
          <w:szCs w:val="21"/>
        </w:rPr>
        <w:t>三</w:t>
      </w:r>
      <w:bookmarkEnd w:id="11"/>
      <w:r>
        <w:rPr>
          <w:rFonts w:hint="eastAsia" w:ascii="宋体" w:hAnsi="宋体"/>
          <w:bCs/>
          <w:color w:val="auto"/>
          <w:kern w:val="0"/>
          <w:szCs w:val="21"/>
        </w:rPr>
        <w:t>个月内、国产设备及进口设备（非免税）一个月内全部设备、材料运抵现场，并安装、调试结束，验收合格，交</w:t>
      </w:r>
      <w:bookmarkStart w:id="12" w:name="OLE_LINK2"/>
      <w:r>
        <w:rPr>
          <w:rFonts w:hint="eastAsia" w:ascii="宋体" w:hAnsi="宋体"/>
          <w:bCs/>
          <w:color w:val="auto"/>
          <w:kern w:val="0"/>
          <w:szCs w:val="21"/>
        </w:rPr>
        <w:t>付</w:t>
      </w:r>
      <w:bookmarkEnd w:id="12"/>
      <w:r>
        <w:rPr>
          <w:rFonts w:hint="eastAsia" w:ascii="宋体" w:hAnsi="宋体"/>
          <w:bCs/>
          <w:color w:val="auto"/>
          <w:kern w:val="0"/>
          <w:szCs w:val="21"/>
          <w:lang w:val="en-US" w:eastAsia="zh-CN"/>
        </w:rPr>
        <w:t>采购人</w:t>
      </w:r>
      <w:r>
        <w:rPr>
          <w:rFonts w:hint="eastAsia" w:ascii="宋体" w:hAnsi="宋体"/>
          <w:bCs/>
          <w:color w:val="auto"/>
          <w:kern w:val="0"/>
          <w:szCs w:val="21"/>
        </w:rPr>
        <w:t>使用</w:t>
      </w:r>
      <w:bookmarkEnd w:id="10"/>
      <w:r>
        <w:rPr>
          <w:rFonts w:hint="eastAsia" w:ascii="宋体" w:hAnsi="宋体"/>
          <w:bCs/>
          <w:color w:val="auto"/>
          <w:kern w:val="0"/>
          <w:szCs w:val="21"/>
        </w:rPr>
        <w:t>。</w:t>
      </w:r>
      <w:bookmarkEnd w:id="5"/>
    </w:p>
    <w:p w14:paraId="1065A84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本项目不接受联合体投标。</w:t>
      </w:r>
    </w:p>
    <w:p w14:paraId="10CF06F6">
      <w:pPr>
        <w:spacing w:line="360" w:lineRule="auto"/>
        <w:ind w:firstLine="420" w:firstLineChars="200"/>
        <w:jc w:val="left"/>
        <w:rPr>
          <w:color w:val="auto"/>
        </w:rPr>
      </w:pPr>
      <w:r>
        <w:rPr>
          <w:rFonts w:hint="eastAsia" w:ascii="宋体" w:hAnsi="宋体"/>
          <w:color w:val="auto"/>
          <w:szCs w:val="21"/>
        </w:rPr>
        <w:t>是否面向中小企业：否</w:t>
      </w:r>
    </w:p>
    <w:p w14:paraId="723C403E">
      <w:pPr>
        <w:spacing w:line="360" w:lineRule="auto"/>
        <w:ind w:firstLine="420" w:firstLineChars="200"/>
        <w:jc w:val="left"/>
        <w:rPr>
          <w:rFonts w:ascii="宋体" w:hAnsi="宋体" w:cs="宋体"/>
          <w:color w:val="auto"/>
          <w:szCs w:val="21"/>
        </w:rPr>
      </w:pPr>
      <w:r>
        <w:rPr>
          <w:rFonts w:hint="eastAsia" w:ascii="宋体" w:hAnsi="宋体"/>
          <w:color w:val="auto"/>
          <w:szCs w:val="21"/>
        </w:rPr>
        <w:t>本项目采购标的所属行业为：</w:t>
      </w:r>
      <w:r>
        <w:rPr>
          <w:rFonts w:hint="eastAsia" w:ascii="宋体" w:hAnsi="宋体" w:cs="宋体"/>
          <w:color w:val="auto"/>
          <w:szCs w:val="21"/>
        </w:rPr>
        <w:t>根据《关于印发中小企业划型标准规定的通知》(工信部联企业(2011)300 号)及《国家统计局关于印发(统计上大中小微型企业划分办法(2017)〉的通知》(国统字(2017〕213 号)等文件规定，本项目所属行业为“工业”。</w:t>
      </w:r>
    </w:p>
    <w:bookmarkEnd w:id="6"/>
    <w:bookmarkEnd w:id="7"/>
    <w:bookmarkEnd w:id="8"/>
    <w:bookmarkEnd w:id="9"/>
    <w:p w14:paraId="068CCAC1">
      <w:pPr>
        <w:spacing w:line="360" w:lineRule="auto"/>
        <w:jc w:val="left"/>
        <w:rPr>
          <w:rFonts w:ascii="宋体" w:hAnsi="宋体" w:cs="宋体"/>
          <w:color w:val="auto"/>
          <w:szCs w:val="21"/>
        </w:rPr>
      </w:pPr>
      <w:r>
        <w:rPr>
          <w:rFonts w:hint="eastAsia" w:ascii="宋体" w:hAnsi="宋体" w:cs="宋体"/>
          <w:color w:val="auto"/>
          <w:szCs w:val="21"/>
        </w:rPr>
        <w:t>二、申请人的资格要求：</w:t>
      </w:r>
    </w:p>
    <w:p w14:paraId="2EF1E72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14:paraId="3442361D">
      <w:pPr>
        <w:spacing w:line="360" w:lineRule="auto"/>
        <w:ind w:firstLine="420" w:firstLineChars="200"/>
        <w:jc w:val="left"/>
        <w:rPr>
          <w:rFonts w:ascii="宋体" w:hAnsi="宋体" w:cs="宋体"/>
          <w:color w:val="auto"/>
          <w:szCs w:val="21"/>
        </w:rPr>
      </w:pPr>
      <w:bookmarkStart w:id="13" w:name="_Toc28359004"/>
      <w:bookmarkStart w:id="14" w:name="_Toc28359081"/>
      <w:r>
        <w:rPr>
          <w:rFonts w:ascii="宋体" w:hAnsi="宋体" w:cs="宋体"/>
          <w:color w:val="auto"/>
          <w:szCs w:val="21"/>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auto"/>
          <w:szCs w:val="21"/>
        </w:rPr>
      </w:pPr>
      <w:r>
        <w:rPr>
          <w:rFonts w:ascii="宋体" w:hAnsi="宋体" w:cs="宋体"/>
          <w:color w:val="auto"/>
          <w:szCs w:val="21"/>
        </w:rPr>
        <w:t>（2）具有良好的商业信誉和健全的财务会计制度（提供</w:t>
      </w:r>
      <w:r>
        <w:rPr>
          <w:rFonts w:hint="eastAsia" w:ascii="宋体" w:hAnsi="宋体" w:cs="宋体"/>
          <w:color w:val="auto"/>
          <w:szCs w:val="21"/>
        </w:rPr>
        <w:t>2023年</w:t>
      </w:r>
      <w:r>
        <w:rPr>
          <w:rFonts w:ascii="宋体" w:hAnsi="宋体" w:cs="宋体"/>
          <w:color w:val="auto"/>
          <w:szCs w:val="21"/>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auto"/>
          <w:szCs w:val="21"/>
        </w:rPr>
        <w:t>（成立不满一年不需提供）</w:t>
      </w:r>
      <w:r>
        <w:rPr>
          <w:rFonts w:ascii="宋体" w:hAnsi="宋体" w:cs="宋体"/>
          <w:color w:val="auto"/>
          <w:szCs w:val="21"/>
        </w:rPr>
        <w:t>；</w:t>
      </w:r>
    </w:p>
    <w:p w14:paraId="31618DA8">
      <w:pPr>
        <w:spacing w:line="360" w:lineRule="auto"/>
        <w:ind w:firstLine="420" w:firstLineChars="200"/>
        <w:jc w:val="left"/>
        <w:rPr>
          <w:rFonts w:ascii="宋体" w:hAnsi="宋体" w:cs="宋体"/>
          <w:color w:val="auto"/>
          <w:szCs w:val="21"/>
        </w:rPr>
      </w:pPr>
      <w:r>
        <w:rPr>
          <w:rFonts w:ascii="宋体" w:hAnsi="宋体" w:cs="宋体"/>
          <w:color w:val="auto"/>
          <w:szCs w:val="21"/>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auto"/>
          <w:szCs w:val="21"/>
        </w:rPr>
      </w:pPr>
      <w:r>
        <w:rPr>
          <w:rFonts w:ascii="宋体" w:hAnsi="宋体" w:cs="宋体"/>
          <w:color w:val="auto"/>
          <w:szCs w:val="21"/>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auto"/>
          <w:szCs w:val="21"/>
        </w:rPr>
        <w:t>（依法免税的和依法不需要缴纳社会保障资金的应提供相应文件说明</w:t>
      </w:r>
      <w:r>
        <w:rPr>
          <w:rFonts w:ascii="宋体" w:hAnsi="宋体" w:cs="宋体"/>
          <w:color w:val="auto"/>
          <w:szCs w:val="21"/>
        </w:rPr>
        <w:t>）</w:t>
      </w:r>
      <w:r>
        <w:rPr>
          <w:rFonts w:hint="eastAsia" w:ascii="宋体" w:hAnsi="宋体" w:cs="宋体"/>
          <w:color w:val="auto"/>
          <w:szCs w:val="21"/>
        </w:rPr>
        <w:t>）</w:t>
      </w:r>
      <w:r>
        <w:rPr>
          <w:rFonts w:ascii="宋体" w:hAnsi="宋体" w:cs="宋体"/>
          <w:color w:val="auto"/>
          <w:szCs w:val="21"/>
        </w:rPr>
        <w:t>；</w:t>
      </w:r>
    </w:p>
    <w:p w14:paraId="0DD8B964">
      <w:pPr>
        <w:spacing w:line="360" w:lineRule="auto"/>
        <w:ind w:firstLine="420" w:firstLineChars="200"/>
        <w:jc w:val="left"/>
        <w:rPr>
          <w:rFonts w:ascii="宋体" w:hAnsi="宋体" w:cs="宋体"/>
          <w:color w:val="auto"/>
          <w:szCs w:val="21"/>
        </w:rPr>
      </w:pPr>
      <w:r>
        <w:rPr>
          <w:rFonts w:ascii="宋体" w:hAnsi="宋体" w:cs="宋体"/>
          <w:color w:val="auto"/>
          <w:szCs w:val="21"/>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auto"/>
          <w:szCs w:val="21"/>
        </w:rPr>
      </w:pPr>
      <w:r>
        <w:rPr>
          <w:rFonts w:ascii="宋体" w:hAnsi="宋体" w:cs="宋体"/>
          <w:color w:val="auto"/>
          <w:szCs w:val="21"/>
        </w:rPr>
        <w:t>（6）法律、行政法规规定的其他条件，提供相关证明材料：无。</w:t>
      </w:r>
    </w:p>
    <w:p w14:paraId="5AC8744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7E6DF12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4.本项目不接受转包、分包。</w:t>
      </w:r>
    </w:p>
    <w:p w14:paraId="00A2ABA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5.拒绝下述供应商参加本次采购活动：</w:t>
      </w:r>
    </w:p>
    <w:p w14:paraId="7BB9BCF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6.本项目接受进口产品投标。（注：本文件所称进口产品是指通过中国海关报关验放进入中国境内且产自关境外的产品）</w:t>
      </w:r>
    </w:p>
    <w:bookmarkEnd w:id="13"/>
    <w:bookmarkEnd w:id="14"/>
    <w:p w14:paraId="4605F3CE">
      <w:pPr>
        <w:spacing w:line="360" w:lineRule="auto"/>
        <w:jc w:val="left"/>
        <w:rPr>
          <w:rFonts w:ascii="宋体" w:hAnsi="宋体" w:cs="宋体"/>
          <w:color w:val="auto"/>
          <w:szCs w:val="21"/>
        </w:rPr>
      </w:pPr>
      <w:bookmarkStart w:id="15" w:name="_Toc35393792"/>
      <w:bookmarkStart w:id="16" w:name="_Toc35393623"/>
      <w:bookmarkStart w:id="17" w:name="_Toc28359082"/>
      <w:bookmarkStart w:id="18" w:name="_Toc28359005"/>
      <w:bookmarkStart w:id="19" w:name="_Toc35393624"/>
      <w:bookmarkStart w:id="20" w:name="_Toc35393793"/>
      <w:r>
        <w:rPr>
          <w:rFonts w:hint="eastAsia" w:ascii="宋体" w:hAnsi="宋体" w:cs="宋体"/>
          <w:color w:val="auto"/>
          <w:szCs w:val="21"/>
        </w:rPr>
        <w:t>三、获取纸质招标文件</w:t>
      </w:r>
      <w:bookmarkEnd w:id="15"/>
      <w:bookmarkEnd w:id="16"/>
    </w:p>
    <w:p w14:paraId="0E2B0C0D">
      <w:pPr>
        <w:spacing w:line="360" w:lineRule="auto"/>
        <w:jc w:val="left"/>
        <w:rPr>
          <w:rFonts w:ascii="宋体" w:hAnsi="宋体" w:cs="宋体"/>
          <w:color w:val="auto"/>
          <w:szCs w:val="21"/>
        </w:rPr>
      </w:pPr>
      <w:r>
        <w:rPr>
          <w:rFonts w:hint="eastAsia" w:ascii="宋体" w:hAnsi="宋体" w:cs="宋体"/>
          <w:color w:val="auto"/>
          <w:szCs w:val="21"/>
        </w:rPr>
        <w:t>1、时间：</w:t>
      </w:r>
      <w:r>
        <w:rPr>
          <w:rFonts w:hint="eastAsia" w:ascii="宋体" w:hAnsi="宋体" w:cs="宋体"/>
          <w:color w:val="000000" w:themeColor="text1"/>
          <w:szCs w:val="21"/>
          <w14:textFill>
            <w14:solidFill>
              <w14:schemeClr w14:val="tx1"/>
            </w14:solidFill>
          </w14:textFill>
        </w:rPr>
        <w:t>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auto"/>
          <w:szCs w:val="21"/>
        </w:rPr>
      </w:pPr>
      <w:r>
        <w:rPr>
          <w:rFonts w:hint="eastAsia" w:ascii="宋体" w:hAnsi="宋体" w:cs="宋体"/>
          <w:color w:val="auto"/>
          <w:szCs w:val="21"/>
        </w:rPr>
        <w:t>2、获取方式：</w:t>
      </w:r>
    </w:p>
    <w:p w14:paraId="32C40C22">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（1）获取方式：本项目获取网址为：</w:t>
      </w:r>
      <w:r>
        <w:rPr>
          <w:rFonts w:hint="eastAsia" w:ascii="宋体" w:hAnsi="宋体" w:cs="宋体"/>
          <w:color w:val="000000" w:themeColor="text1"/>
          <w:szCs w:val="21"/>
          <w:highlight w:val="none"/>
          <w:lang w:val="en-US" w:eastAsia="zh-CN"/>
          <w14:textFill>
            <w14:solidFill>
              <w14:schemeClr w14:val="tx1"/>
            </w14:solidFill>
          </w14:textFill>
        </w:rPr>
        <w:t>https://njsnzx.cn/#/detail?id=953</w:t>
      </w:r>
      <w:r>
        <w:rPr>
          <w:rFonts w:hint="eastAsia" w:ascii="宋体" w:hAnsi="宋体" w:cs="宋体"/>
          <w:color w:val="000000" w:themeColor="text1"/>
          <w:szCs w:val="21"/>
          <w:highlight w:val="none"/>
          <w14:textFill>
            <w14:solidFill>
              <w14:schemeClr w14:val="tx1"/>
            </w14:solidFill>
          </w14:textFill>
        </w:rPr>
        <w:t>；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6BD8ACA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（2）北京时间，法定节假日除外；未按照上述要求合法获取招标（采购）文件的，招标（采购）人将不予受理其投标（响应）。</w:t>
      </w:r>
      <w:r>
        <w:rPr>
          <w:rFonts w:hint="eastAsia"/>
          <w:b w:val="0"/>
          <w:bCs/>
          <w:color w:val="000000"/>
          <w:sz w:val="21"/>
          <w:szCs w:val="21"/>
        </w:rPr>
        <w:t>第一次已获取采购文件的无需重复缴费，但仍需重新获取采购文件。</w:t>
      </w:r>
    </w:p>
    <w:p w14:paraId="330BFC7F">
      <w:pPr>
        <w:spacing w:line="360" w:lineRule="auto"/>
        <w:jc w:val="left"/>
        <w:rPr>
          <w:rFonts w:ascii="宋体" w:hAnsi="宋体" w:cs="宋体"/>
          <w:color w:val="auto"/>
          <w:szCs w:val="21"/>
          <w:highlight w:val="none"/>
        </w:rPr>
      </w:pPr>
      <w:r>
        <w:rPr>
          <w:rFonts w:hint="eastAsia" w:ascii="宋体" w:hAnsi="宋体" w:cs="宋体"/>
          <w:color w:val="auto"/>
          <w:szCs w:val="21"/>
        </w:rPr>
        <w:t>四、提交投标文</w:t>
      </w:r>
      <w:r>
        <w:rPr>
          <w:rFonts w:hint="eastAsia" w:ascii="宋体" w:hAnsi="宋体" w:cs="宋体"/>
          <w:color w:val="auto"/>
          <w:szCs w:val="21"/>
          <w:highlight w:val="none"/>
        </w:rPr>
        <w:t>件</w:t>
      </w:r>
      <w:bookmarkEnd w:id="17"/>
      <w:bookmarkEnd w:id="18"/>
      <w:r>
        <w:rPr>
          <w:rFonts w:hint="eastAsia" w:ascii="宋体" w:hAnsi="宋体" w:cs="宋体"/>
          <w:color w:val="auto"/>
          <w:szCs w:val="21"/>
          <w:highlight w:val="none"/>
        </w:rPr>
        <w:t>截止时间、开标时间和地点</w:t>
      </w:r>
      <w:bookmarkEnd w:id="19"/>
      <w:bookmarkEnd w:id="20"/>
    </w:p>
    <w:p w14:paraId="1A9CA467">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highlight w:val="none"/>
        </w:rPr>
        <w:t>截止时间及开标时间：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w:t>
      </w:r>
      <w:r>
        <w:rPr>
          <w:rFonts w:hint="eastAsia" w:ascii="宋体" w:hAnsi="宋体" w:cs="宋体"/>
          <w:color w:val="auto"/>
          <w:szCs w:val="21"/>
          <w:u w:val="single"/>
        </w:rPr>
        <w:t>间）</w:t>
      </w:r>
    </w:p>
    <w:p w14:paraId="482434E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14:paraId="74BBA9B1">
      <w:pPr>
        <w:spacing w:line="360" w:lineRule="auto"/>
        <w:jc w:val="left"/>
        <w:rPr>
          <w:rFonts w:ascii="宋体" w:hAnsi="宋体" w:cs="宋体"/>
          <w:color w:val="auto"/>
          <w:szCs w:val="21"/>
        </w:rPr>
      </w:pPr>
      <w:bookmarkStart w:id="21" w:name="_Toc35393625"/>
      <w:bookmarkStart w:id="22" w:name="_Toc28359084"/>
      <w:bookmarkStart w:id="23" w:name="_Toc28359007"/>
      <w:bookmarkStart w:id="24" w:name="_Toc35393794"/>
      <w:r>
        <w:rPr>
          <w:rFonts w:hint="eastAsia" w:ascii="宋体" w:hAnsi="宋体" w:cs="宋体"/>
          <w:color w:val="auto"/>
          <w:szCs w:val="21"/>
        </w:rPr>
        <w:t>五、公告期限</w:t>
      </w:r>
      <w:bookmarkEnd w:id="21"/>
      <w:bookmarkEnd w:id="22"/>
      <w:bookmarkEnd w:id="23"/>
      <w:bookmarkEnd w:id="24"/>
    </w:p>
    <w:p w14:paraId="5EF5368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自本公告发布之日起5个工作日。</w:t>
      </w:r>
    </w:p>
    <w:p w14:paraId="27611663">
      <w:pPr>
        <w:spacing w:line="360" w:lineRule="auto"/>
        <w:jc w:val="left"/>
        <w:rPr>
          <w:rFonts w:ascii="宋体" w:hAnsi="宋体" w:cs="宋体"/>
          <w:color w:val="auto"/>
          <w:szCs w:val="21"/>
        </w:rPr>
      </w:pPr>
      <w:bookmarkStart w:id="25" w:name="_Toc35393795"/>
      <w:bookmarkStart w:id="26" w:name="_Toc35393626"/>
      <w:r>
        <w:rPr>
          <w:rFonts w:hint="eastAsia" w:ascii="宋体" w:hAnsi="宋体" w:cs="宋体"/>
          <w:color w:val="auto"/>
          <w:szCs w:val="21"/>
        </w:rPr>
        <w:t>六、其他补充事宜</w:t>
      </w:r>
      <w:bookmarkEnd w:id="25"/>
      <w:bookmarkEnd w:id="26"/>
    </w:p>
    <w:p w14:paraId="60B4468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1.集中勘察或答疑：</w:t>
      </w:r>
    </w:p>
    <w:p w14:paraId="5583E3C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auto"/>
          <w:szCs w:val="21"/>
        </w:rPr>
      </w:pPr>
      <w:bookmarkStart w:id="27" w:name="_Toc28359085"/>
      <w:bookmarkStart w:id="28" w:name="_Toc28359008"/>
      <w:bookmarkStart w:id="29" w:name="_Toc35393796"/>
      <w:bookmarkStart w:id="30" w:name="_Toc35393627"/>
      <w:r>
        <w:rPr>
          <w:rFonts w:hint="eastAsia" w:ascii="宋体" w:hAnsi="宋体" w:cs="宋体"/>
          <w:color w:val="auto"/>
          <w:szCs w:val="21"/>
        </w:rPr>
        <w:t>3.公告媒体</w:t>
      </w:r>
    </w:p>
    <w:p w14:paraId="1D626D4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4.采购项目需要落实的政府采购政策：</w:t>
      </w:r>
    </w:p>
    <w:p w14:paraId="4AF79EDD">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（1）政府采购促进中小企业发展</w:t>
      </w:r>
    </w:p>
    <w:p w14:paraId="0A514D0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（2）政府采购支持监狱企业发展</w:t>
      </w:r>
    </w:p>
    <w:p w14:paraId="747C9BC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（3）政府采购促进残疾人就业</w:t>
      </w:r>
    </w:p>
    <w:p w14:paraId="745D347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（4）政府采购鼓励采购节能环保产品</w:t>
      </w:r>
    </w:p>
    <w:p w14:paraId="08AE81A2">
      <w:pPr>
        <w:spacing w:line="360" w:lineRule="auto"/>
        <w:jc w:val="left"/>
        <w:rPr>
          <w:rFonts w:ascii="宋体" w:hAnsi="宋体" w:cs="宋体"/>
          <w:color w:val="auto"/>
          <w:szCs w:val="21"/>
        </w:rPr>
      </w:pPr>
      <w:r>
        <w:rPr>
          <w:rFonts w:hint="eastAsia" w:ascii="宋体" w:hAnsi="宋体" w:cs="宋体"/>
          <w:color w:val="auto"/>
          <w:szCs w:val="21"/>
        </w:rPr>
        <w:t>七、对本次招标提出询问，请按以下方式联系。</w:t>
      </w:r>
      <w:bookmarkEnd w:id="27"/>
      <w:bookmarkEnd w:id="28"/>
      <w:bookmarkEnd w:id="29"/>
      <w:bookmarkEnd w:id="30"/>
    </w:p>
    <w:p w14:paraId="0E2E432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1.采购人信息</w:t>
      </w:r>
    </w:p>
    <w:p w14:paraId="7511A418">
      <w:pPr>
        <w:spacing w:line="360" w:lineRule="auto"/>
        <w:ind w:firstLine="420" w:firstLineChars="200"/>
        <w:jc w:val="left"/>
        <w:rPr>
          <w:rFonts w:ascii="宋体" w:hAnsi="宋体" w:cs="宋体"/>
          <w:color w:val="auto"/>
          <w:szCs w:val="21"/>
        </w:rPr>
      </w:pPr>
      <w:bookmarkStart w:id="31" w:name="_Toc28359009"/>
      <w:bookmarkStart w:id="32" w:name="_Toc28359086"/>
      <w:r>
        <w:rPr>
          <w:rFonts w:hint="eastAsia" w:ascii="宋体" w:hAnsi="宋体" w:cs="宋体"/>
          <w:color w:val="auto"/>
          <w:szCs w:val="21"/>
        </w:rPr>
        <w:t>名称：南京医科大学</w:t>
      </w:r>
    </w:p>
    <w:p w14:paraId="55830E1C">
      <w:pPr>
        <w:widowControl/>
        <w:shd w:val="clear" w:color="auto" w:fill="FFFFFF"/>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rPr>
        <w:t>地址：</w:t>
      </w:r>
      <w:r>
        <w:rPr>
          <w:rFonts w:hint="eastAsia" w:ascii="宋体" w:hAnsi="宋体" w:cs="宋体"/>
          <w:color w:val="auto"/>
          <w:spacing w:val="8"/>
          <w:kern w:val="0"/>
          <w:szCs w:val="21"/>
          <w:shd w:val="clear" w:color="auto" w:fill="FFFFFF"/>
          <w:lang w:bidi="ar"/>
        </w:rPr>
        <w:t>南京市江宁区龙眠大道101号</w:t>
      </w:r>
    </w:p>
    <w:p w14:paraId="45D12FF4">
      <w:pPr>
        <w:spacing w:line="360" w:lineRule="auto"/>
        <w:ind w:firstLine="452" w:firstLineChars="200"/>
        <w:jc w:val="left"/>
        <w:rPr>
          <w:rFonts w:hint="eastAsia" w:ascii="宋体" w:hAnsi="宋体" w:cs="宋体"/>
          <w:color w:val="auto"/>
          <w:spacing w:val="8"/>
          <w:kern w:val="0"/>
          <w:szCs w:val="21"/>
        </w:rPr>
      </w:pPr>
      <w:r>
        <w:rPr>
          <w:rFonts w:hint="eastAsia" w:ascii="宋体" w:hAnsi="宋体" w:cs="宋体"/>
          <w:color w:val="auto"/>
          <w:spacing w:val="8"/>
          <w:kern w:val="0"/>
          <w:szCs w:val="21"/>
        </w:rPr>
        <w:t>联系方式：吴老师</w:t>
      </w:r>
    </w:p>
    <w:p w14:paraId="76DC1046">
      <w:pPr>
        <w:spacing w:line="360" w:lineRule="auto"/>
        <w:ind w:firstLine="452" w:firstLineChars="200"/>
        <w:jc w:val="left"/>
        <w:rPr>
          <w:rFonts w:hint="eastAsia" w:ascii="宋体" w:hAnsi="宋体" w:cs="宋体"/>
          <w:color w:val="auto"/>
          <w:spacing w:val="8"/>
          <w:kern w:val="0"/>
          <w:szCs w:val="21"/>
        </w:rPr>
      </w:pPr>
      <w:r>
        <w:rPr>
          <w:rFonts w:hint="eastAsia" w:ascii="宋体" w:hAnsi="宋体" w:cs="宋体"/>
          <w:color w:val="auto"/>
          <w:spacing w:val="8"/>
          <w:kern w:val="0"/>
          <w:szCs w:val="21"/>
        </w:rPr>
        <w:t>联系电话：025-86868571</w:t>
      </w:r>
    </w:p>
    <w:p w14:paraId="6D8B1D8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2.采购代理机构信息</w:t>
      </w:r>
      <w:bookmarkEnd w:id="31"/>
      <w:bookmarkEnd w:id="32"/>
    </w:p>
    <w:p w14:paraId="2BEC393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名称：南京苏宁工程咨询有限公司</w:t>
      </w:r>
    </w:p>
    <w:p w14:paraId="06EE2A0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地址：南京市鼓楼区中山路99号12楼1212室</w:t>
      </w:r>
    </w:p>
    <w:p w14:paraId="7BA86D9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联系方式：</w:t>
      </w:r>
      <w:bookmarkStart w:id="33" w:name="_Toc28359087"/>
      <w:bookmarkStart w:id="34" w:name="_Toc28359010"/>
      <w:r>
        <w:rPr>
          <w:rFonts w:hint="eastAsia" w:ascii="宋体" w:hAnsi="宋体" w:cs="宋体"/>
          <w:color w:val="auto"/>
          <w:szCs w:val="21"/>
        </w:rPr>
        <w:t>李工025-84200809</w:t>
      </w:r>
    </w:p>
    <w:p w14:paraId="6ABF89E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项目联系方式</w:t>
      </w:r>
      <w:bookmarkEnd w:id="33"/>
      <w:bookmarkEnd w:id="34"/>
    </w:p>
    <w:p w14:paraId="2105C22C">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项目联系人：李工 电话：025-84200809</w:t>
      </w:r>
    </w:p>
    <w:p w14:paraId="58393689"/>
    <w:p w14:paraId="06187EC9"/>
    <w:p w14:paraId="71CE8D16">
      <w:pPr>
        <w:spacing w:line="360" w:lineRule="auto"/>
        <w:ind w:firstLine="420" w:firstLineChars="200"/>
        <w:jc w:val="right"/>
        <w:rPr>
          <w:rFonts w:ascii="宋体" w:hAnsi="宋体" w:cs="宋体"/>
          <w:color w:val="auto"/>
          <w:szCs w:val="21"/>
        </w:rPr>
      </w:pPr>
      <w:r>
        <w:rPr>
          <w:rFonts w:hint="eastAsia" w:ascii="宋体" w:hAnsi="宋体" w:cs="宋体"/>
          <w:color w:val="auto"/>
          <w:szCs w:val="21"/>
        </w:rPr>
        <w:t>南京苏宁工程咨询有限公司</w:t>
      </w:r>
    </w:p>
    <w:p w14:paraId="32C5F49E">
      <w:pPr>
        <w:spacing w:line="360" w:lineRule="auto"/>
        <w:jc w:val="right"/>
        <w:rPr>
          <w:rFonts w:hint="default" w:eastAsia="宋体"/>
          <w:lang w:val="en-US" w:eastAsia="zh-CN"/>
        </w:rPr>
      </w:pPr>
      <w:r>
        <w:rPr>
          <w:rFonts w:hint="eastAsia"/>
          <w:lang w:val="en-US" w:eastAsia="zh-CN"/>
        </w:rPr>
        <w:t>2024年10月23日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7935674B"/>
    <w:rsid w:val="79356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2024-10-23T00:57:00Z</dcterms:created>
  <dc:creator>乌米团子</dc:creator>
  <cp:lastModifiedBy>乌米团子</cp:lastModifiedBy>
  <dcterms:modified xsi:type="dcterms:W3CDTF">2024-10-23T00:59:19Z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6687AF8DC551442ABD34D273B12FD13F_11</vt:lpwstr>
  </property>
</Properties>
</file>