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eastAsia="黑体"/>
          <w:b/>
          <w:bCs/>
          <w:sz w:val="84"/>
        </w:rPr>
      </w:pPr>
    </w:p>
    <w:p>
      <w:pPr>
        <w:pStyle w:val="28"/>
        <w:ind w:firstLine="0"/>
        <w:jc w:val="center"/>
        <w:rPr>
          <w:rFonts w:eastAsia="黑体"/>
          <w:b/>
          <w:bCs/>
          <w:sz w:val="84"/>
        </w:rPr>
      </w:pPr>
    </w:p>
    <w:p>
      <w:pPr>
        <w:pStyle w:val="28"/>
        <w:ind w:firstLine="0"/>
        <w:jc w:val="center"/>
        <w:rPr>
          <w:rFonts w:eastAsia="黑体"/>
          <w:b/>
          <w:bCs/>
          <w:sz w:val="84"/>
        </w:rPr>
      </w:pPr>
      <w:r>
        <w:rPr>
          <w:rFonts w:hint="eastAsia" w:eastAsia="黑体"/>
          <w:b/>
          <w:bCs/>
          <w:sz w:val="84"/>
        </w:rPr>
        <w:t>招　标　文　件</w:t>
      </w:r>
    </w:p>
    <w:p>
      <w:pPr>
        <w:pStyle w:val="28"/>
        <w:ind w:firstLine="2409" w:firstLineChars="750"/>
        <w:rPr>
          <w:b/>
          <w:bCs/>
          <w:sz w:val="32"/>
        </w:rPr>
      </w:pPr>
    </w:p>
    <w:p>
      <w:pPr>
        <w:pStyle w:val="28"/>
        <w:ind w:firstLine="0"/>
        <w:jc w:val="both"/>
        <w:rPr>
          <w:b/>
          <w:bCs/>
          <w:sz w:val="32"/>
        </w:rPr>
      </w:pPr>
      <w:r>
        <w:rPr>
          <w:rFonts w:hint="eastAsia"/>
          <w:b/>
          <w:bCs/>
          <w:sz w:val="32"/>
        </w:rPr>
        <w:t>项目名称：南京医科大学荧光定量PCR仪项目购置</w:t>
      </w:r>
    </w:p>
    <w:p>
      <w:pPr>
        <w:pStyle w:val="28"/>
        <w:ind w:firstLine="0"/>
        <w:jc w:val="both"/>
        <w:rPr>
          <w:b/>
          <w:bCs/>
          <w:sz w:val="32"/>
        </w:rPr>
      </w:pPr>
      <w:r>
        <w:rPr>
          <w:rFonts w:hint="eastAsia"/>
          <w:b/>
          <w:bCs/>
          <w:sz w:val="32"/>
        </w:rPr>
        <w:t>项目编号：NJMUZB3012023120</w:t>
      </w: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ind w:firstLine="0"/>
        <w:jc w:val="center"/>
        <w:rPr>
          <w:b/>
          <w:bCs/>
          <w:sz w:val="32"/>
        </w:rPr>
      </w:pPr>
    </w:p>
    <w:p>
      <w:pPr>
        <w:pStyle w:val="28"/>
        <w:ind w:firstLine="0"/>
        <w:jc w:val="center"/>
        <w:rPr>
          <w:b/>
          <w:bCs/>
          <w:sz w:val="32"/>
        </w:rPr>
      </w:pPr>
      <w:r>
        <w:rPr>
          <w:rFonts w:hint="eastAsia"/>
          <w:b/>
          <w:bCs/>
          <w:sz w:val="32"/>
        </w:rPr>
        <w:t>南京医科大学</w:t>
      </w:r>
      <w:r>
        <w:br w:type="page"/>
      </w:r>
      <w:bookmarkStart w:id="0" w:name="_Toc517190880"/>
      <w:bookmarkStart w:id="1" w:name="_Toc120614210"/>
      <w:bookmarkStart w:id="2" w:name="_Toc523127445"/>
      <w:bookmarkStart w:id="3" w:name="_Toc20823272"/>
      <w:bookmarkStart w:id="4" w:name="_Toc513029200"/>
      <w:bookmarkStart w:id="5" w:name="_Toc16938516"/>
      <w:bookmarkStart w:id="6" w:name="_Toc479757206"/>
      <w:r>
        <w:rPr>
          <w:rFonts w:hint="eastAsia" w:ascii="黑体" w:hAnsi="黑体" w:eastAsia="黑体"/>
          <w:b/>
          <w:sz w:val="44"/>
          <w:szCs w:val="28"/>
        </w:rPr>
        <w:t>目  录</w:t>
      </w:r>
      <w:bookmarkEnd w:id="0"/>
    </w:p>
    <w:p>
      <w:pPr>
        <w:pStyle w:val="16"/>
        <w:tabs>
          <w:tab w:val="left" w:pos="840"/>
          <w:tab w:val="right" w:leader="dot" w:pos="8296"/>
        </w:tabs>
        <w:spacing w:beforeLines="50" w:afterLines="50" w:line="360" w:lineRule="auto"/>
        <w:rPr>
          <w:rFonts w:ascii="Times New Roman" w:hAnsi="Times New Roman" w:eastAsiaTheme="minorEastAsia"/>
          <w:b w:val="0"/>
          <w:bCs w:val="0"/>
          <w:caps w:val="0"/>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TOC \o "1-3" \h \z \u </w:instrText>
      </w:r>
      <w:r>
        <w:rPr>
          <w:rFonts w:ascii="Times New Roman" w:hAnsi="Times New Roman" w:eastAsiaTheme="minorEastAsia"/>
          <w:sz w:val="24"/>
          <w:szCs w:val="24"/>
        </w:rPr>
        <w:fldChar w:fldCharType="separate"/>
      </w:r>
      <w:r>
        <w:fldChar w:fldCharType="begin"/>
      </w:r>
      <w:r>
        <w:instrText xml:space="preserve"> HYPERLINK \l "_Toc149807450" </w:instrText>
      </w:r>
      <w:r>
        <w:fldChar w:fldCharType="separate"/>
      </w:r>
      <w:r>
        <w:rPr>
          <w:rStyle w:val="23"/>
          <w:rFonts w:ascii="Times New Roman" w:hAnsi="Times New Roman" w:eastAsiaTheme="minorEastAsia"/>
          <w:sz w:val="24"/>
          <w:szCs w:val="24"/>
        </w:rPr>
        <w:t>第一章</w:t>
      </w:r>
      <w:r>
        <w:rPr>
          <w:rFonts w:ascii="Times New Roman" w:hAnsi="Times New Roman" w:eastAsiaTheme="minorEastAsia"/>
          <w:b w:val="0"/>
          <w:bCs w:val="0"/>
          <w:caps w:val="0"/>
          <w:sz w:val="24"/>
          <w:szCs w:val="24"/>
        </w:rPr>
        <w:tab/>
      </w:r>
      <w:r>
        <w:rPr>
          <w:rStyle w:val="23"/>
          <w:rFonts w:ascii="Times New Roman" w:hAnsi="Times New Roman" w:eastAsiaTheme="minorEastAsia"/>
          <w:sz w:val="24"/>
          <w:szCs w:val="24"/>
        </w:rPr>
        <w:t>招标公告</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_Toc149807450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3</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16"/>
        <w:tabs>
          <w:tab w:val="right" w:leader="dot" w:pos="8296"/>
        </w:tabs>
        <w:spacing w:beforeLines="50" w:afterLines="50" w:line="360" w:lineRule="auto"/>
        <w:rPr>
          <w:rFonts w:ascii="Times New Roman" w:hAnsi="Times New Roman" w:eastAsiaTheme="minorEastAsia"/>
          <w:b w:val="0"/>
          <w:bCs w:val="0"/>
          <w:caps w:val="0"/>
          <w:sz w:val="24"/>
          <w:szCs w:val="24"/>
        </w:rPr>
      </w:pPr>
      <w:r>
        <w:fldChar w:fldCharType="begin"/>
      </w:r>
      <w:r>
        <w:instrText xml:space="preserve"> HYPERLINK \l "_Toc149807451" </w:instrText>
      </w:r>
      <w:r>
        <w:fldChar w:fldCharType="separate"/>
      </w:r>
      <w:r>
        <w:rPr>
          <w:rStyle w:val="23"/>
          <w:rFonts w:ascii="Times New Roman" w:hAnsi="Times New Roman" w:eastAsiaTheme="minorEastAsia"/>
          <w:sz w:val="24"/>
          <w:szCs w:val="24"/>
        </w:rPr>
        <w:t>第二章  投标人须知</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_Toc149807451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6</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16"/>
        <w:tabs>
          <w:tab w:val="right" w:leader="dot" w:pos="8296"/>
        </w:tabs>
        <w:spacing w:beforeLines="50" w:afterLines="50" w:line="360" w:lineRule="auto"/>
        <w:rPr>
          <w:rFonts w:ascii="Times New Roman" w:hAnsi="Times New Roman" w:eastAsiaTheme="minorEastAsia"/>
          <w:b w:val="0"/>
          <w:bCs w:val="0"/>
          <w:caps w:val="0"/>
          <w:sz w:val="24"/>
          <w:szCs w:val="24"/>
        </w:rPr>
      </w:pPr>
      <w:r>
        <w:fldChar w:fldCharType="begin"/>
      </w:r>
      <w:r>
        <w:instrText xml:space="preserve"> HYPERLINK \l "_Toc149807452" </w:instrText>
      </w:r>
      <w:r>
        <w:fldChar w:fldCharType="separate"/>
      </w:r>
      <w:r>
        <w:rPr>
          <w:rStyle w:val="23"/>
          <w:rFonts w:ascii="Times New Roman" w:hAnsi="Times New Roman" w:eastAsiaTheme="minorEastAsia"/>
          <w:sz w:val="24"/>
          <w:szCs w:val="24"/>
        </w:rPr>
        <w:t>第三章   项目需求</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_Toc149807452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15</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16"/>
        <w:tabs>
          <w:tab w:val="right" w:leader="dot" w:pos="8296"/>
        </w:tabs>
        <w:spacing w:beforeLines="50" w:afterLines="50" w:line="360" w:lineRule="auto"/>
        <w:rPr>
          <w:rFonts w:ascii="Times New Roman" w:hAnsi="Times New Roman" w:eastAsiaTheme="minorEastAsia"/>
          <w:b w:val="0"/>
          <w:bCs w:val="0"/>
          <w:caps w:val="0"/>
          <w:sz w:val="24"/>
          <w:szCs w:val="24"/>
        </w:rPr>
      </w:pPr>
      <w:r>
        <w:fldChar w:fldCharType="begin"/>
      </w:r>
      <w:r>
        <w:instrText xml:space="preserve"> HYPERLINK \l "_Toc149807453" </w:instrText>
      </w:r>
      <w:r>
        <w:fldChar w:fldCharType="separate"/>
      </w:r>
      <w:r>
        <w:rPr>
          <w:rStyle w:val="23"/>
          <w:rFonts w:ascii="Times New Roman" w:hAnsi="Times New Roman" w:eastAsiaTheme="minorEastAsia"/>
          <w:sz w:val="24"/>
          <w:szCs w:val="24"/>
        </w:rPr>
        <w:t>第四章  评标方法与评标标准</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_Toc149807453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18</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16"/>
        <w:tabs>
          <w:tab w:val="right" w:leader="dot" w:pos="8296"/>
        </w:tabs>
        <w:spacing w:beforeLines="50" w:afterLines="50" w:line="360" w:lineRule="auto"/>
        <w:rPr>
          <w:rFonts w:ascii="Times New Roman" w:hAnsi="Times New Roman" w:eastAsiaTheme="minorEastAsia"/>
          <w:b w:val="0"/>
          <w:bCs w:val="0"/>
          <w:caps w:val="0"/>
          <w:sz w:val="24"/>
          <w:szCs w:val="24"/>
        </w:rPr>
      </w:pPr>
      <w:r>
        <w:fldChar w:fldCharType="begin"/>
      </w:r>
      <w:r>
        <w:instrText xml:space="preserve"> HYPERLINK \l "_Toc149807454" </w:instrText>
      </w:r>
      <w:r>
        <w:fldChar w:fldCharType="separate"/>
      </w:r>
      <w:r>
        <w:rPr>
          <w:rStyle w:val="23"/>
          <w:rFonts w:ascii="Times New Roman" w:hAnsi="Times New Roman" w:eastAsiaTheme="minorEastAsia"/>
          <w:sz w:val="24"/>
          <w:szCs w:val="24"/>
        </w:rPr>
        <w:t>第五章  投标文件格式</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_Toc149807454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20</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spacing w:before="120" w:beforeLines="50" w:after="120" w:afterLines="50" w:line="360" w:lineRule="auto"/>
        <w:jc w:val="center"/>
        <w:outlineLvl w:val="0"/>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fldChar w:fldCharType="end"/>
      </w:r>
    </w:p>
    <w:p>
      <w:pPr>
        <w:spacing w:line="480" w:lineRule="auto"/>
        <w:rPr>
          <w:rFonts w:ascii="仿宋_GB2312" w:hAnsi="Arial" w:eastAsia="仿宋_GB2312"/>
          <w:b/>
          <w:sz w:val="28"/>
        </w:rPr>
      </w:pPr>
    </w:p>
    <w:p/>
    <w:p/>
    <w:p/>
    <w:p/>
    <w:p/>
    <w:p/>
    <w:p/>
    <w:p/>
    <w:p/>
    <w:p/>
    <w:p/>
    <w:p/>
    <w:p/>
    <w:p/>
    <w:p/>
    <w:p/>
    <w:bookmarkEnd w:id="1"/>
    <w:p>
      <w:pPr>
        <w:pStyle w:val="3"/>
        <w:pageBreakBefore/>
        <w:numPr>
          <w:ilvl w:val="0"/>
          <w:numId w:val="3"/>
        </w:numPr>
        <w:rPr>
          <w:rFonts w:asciiTheme="majorEastAsia" w:hAnsiTheme="majorEastAsia" w:eastAsiaTheme="majorEastAsia"/>
          <w:b/>
          <w:sz w:val="44"/>
        </w:rPr>
      </w:pPr>
      <w:bookmarkStart w:id="7" w:name="_Toc149807450"/>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360" w:lineRule="auto"/>
        <w:ind w:firstLine="480" w:firstLineChars="200"/>
        <w:rPr>
          <w:rFonts w:asciiTheme="minorEastAsia" w:hAnsiTheme="minorEastAsia" w:eastAsiaTheme="minorEastAsia"/>
          <w:sz w:val="24"/>
          <w:szCs w:val="24"/>
        </w:rPr>
      </w:pPr>
      <w:bookmarkStart w:id="8" w:name="_Toc479757207"/>
      <w:bookmarkStart w:id="9" w:name="OLE_LINK2"/>
      <w:bookmarkStart w:id="10" w:name="_Toc444669970"/>
      <w:bookmarkStart w:id="11" w:name="_Toc513029242"/>
      <w:bookmarkStart w:id="12" w:name="_Toc20823314"/>
      <w:bookmarkStart w:id="13" w:name="_Toc120614221"/>
      <w:bookmarkStart w:id="14" w:name="OLE_LINK1"/>
      <w:bookmarkStart w:id="15" w:name="_Toc120614211"/>
      <w:bookmarkStart w:id="16" w:name="_Toc16938558"/>
      <w:r>
        <w:rPr>
          <w:rFonts w:hint="eastAsia" w:asciiTheme="minorEastAsia" w:hAnsiTheme="minorEastAsia" w:eastAsiaTheme="minorEastAsia"/>
          <w:sz w:val="24"/>
          <w:szCs w:val="24"/>
        </w:rPr>
        <w:t>南京医科大学就</w:t>
      </w:r>
      <w:r>
        <w:rPr>
          <w:rFonts w:hint="eastAsia" w:asciiTheme="minorEastAsia" w:hAnsiTheme="minorEastAsia" w:eastAsiaTheme="minorEastAsia"/>
          <w:sz w:val="24"/>
          <w:szCs w:val="24"/>
          <w:u w:val="single"/>
        </w:rPr>
        <w:t xml:space="preserve">   荧光定量PCR仪项目购置    </w:t>
      </w:r>
      <w:r>
        <w:rPr>
          <w:rFonts w:hint="eastAsia" w:asciiTheme="minorEastAsia" w:hAnsiTheme="minorEastAsia" w:eastAsiaTheme="minorEastAsia"/>
          <w:sz w:val="24"/>
          <w:szCs w:val="24"/>
        </w:rPr>
        <w:t>采购项目公开招标，相应资金已落实，欢迎符合招标公告资质要求的供应商前来投标。</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（一）采购项目名称：南京医科大学荧光定量PCR仪项目购置</w:t>
      </w:r>
    </w:p>
    <w:p>
      <w:pPr>
        <w:spacing w:before="120" w:beforeLines="50" w:after="120" w:afterLines="5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（二）采</w:t>
      </w:r>
      <w:bookmarkStart w:id="182" w:name="_GoBack"/>
      <w:r>
        <w:rPr>
          <w:rFonts w:hint="eastAsia" w:asciiTheme="minorEastAsia" w:hAnsiTheme="minorEastAsia" w:eastAsiaTheme="minorEastAsia"/>
          <w:sz w:val="24"/>
          <w:szCs w:val="24"/>
        </w:rPr>
        <w:t>购项目编号：NJMUZB3012023120</w:t>
      </w:r>
    </w:p>
    <w:bookmarkEnd w:id="182"/>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：1</w:t>
      </w: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万                                         </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三、采购项目需求：见第三章</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r>
        <w:rPr>
          <w:rFonts w:ascii="宋体" w:hAnsi="宋体" w:eastAsia="宋体" w:cs="宋体"/>
          <w:sz w:val="24"/>
          <w:szCs w:val="24"/>
        </w:rPr>
        <w:t>2022年度审计报告或者2023</w:t>
      </w:r>
      <w:r>
        <w:rPr>
          <w:rFonts w:hint="eastAsia" w:ascii="宋体" w:hAnsi="宋体" w:eastAsia="宋体" w:cs="宋体"/>
          <w:sz w:val="24"/>
          <w:szCs w:val="24"/>
        </w:rPr>
        <w:t>年度任一季度的财务状况报告；</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3.依法缴纳税收和社会保障资金的相关材料，提供</w:t>
      </w:r>
      <w:r>
        <w:rPr>
          <w:rFonts w:ascii="宋体" w:hAnsi="宋体" w:eastAsia="宋体" w:cs="宋体"/>
          <w:sz w:val="24"/>
          <w:szCs w:val="24"/>
        </w:rPr>
        <w:t>2023年度近</w:t>
      </w:r>
      <w:r>
        <w:rPr>
          <w:rFonts w:hint="eastAsia" w:ascii="宋体" w:hAnsi="宋体" w:eastAsia="宋体" w:cs="宋体"/>
          <w:sz w:val="24"/>
          <w:szCs w:val="24"/>
        </w:rPr>
        <w:t>6个月缴纳社保和和税收的凭证；</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（一）投标文件接收截止时间及开标时间：2023年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rPr>
        <w:t>日</w:t>
      </w:r>
      <w:r>
        <w:rPr>
          <w:rFonts w:ascii="宋体" w:hAnsi="宋体" w:eastAsia="宋体" w:cs="宋体"/>
          <w:sz w:val="24"/>
          <w:szCs w:val="24"/>
        </w:rPr>
        <w:t>9</w:t>
      </w:r>
      <w:r>
        <w:rPr>
          <w:rFonts w:hint="eastAsia" w:ascii="宋体" w:hAnsi="宋体" w:eastAsia="宋体" w:cs="宋体"/>
          <w:sz w:val="24"/>
          <w:szCs w:val="24"/>
        </w:rPr>
        <w:t>时15</w:t>
      </w:r>
      <w:r>
        <w:rPr>
          <w:rFonts w:ascii="宋体" w:hAnsi="宋体" w:eastAsia="宋体" w:cs="宋体"/>
          <w:sz w:val="24"/>
          <w:szCs w:val="24"/>
        </w:rPr>
        <w:t>分</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1.纸质版投标文件：一式五份，其中正本一份、副本四份，在标书封面标注“正本”、“副本”字样。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2.电子版投标文件：U盘提供</w:t>
      </w:r>
      <w:r>
        <w:rPr>
          <w:rFonts w:hint="eastAsia" w:ascii="宋体" w:hAnsi="宋体" w:eastAsia="宋体" w:cs="宋体"/>
          <w:b/>
          <w:bCs/>
          <w:sz w:val="24"/>
          <w:szCs w:val="24"/>
        </w:rPr>
        <w:t>盖章版</w:t>
      </w:r>
      <w:r>
        <w:rPr>
          <w:rFonts w:hint="eastAsia" w:ascii="宋体" w:hAnsi="宋体" w:eastAsia="宋体" w:cs="宋体"/>
          <w:sz w:val="24"/>
          <w:szCs w:val="24"/>
        </w:rPr>
        <w:t>投标文件，PDF格式。文件名称为：项目名称+投标单位名称。</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3.投标文件密封并在封口处加盖公章。</w:t>
      </w:r>
    </w:p>
    <w:p>
      <w:pPr>
        <w:pStyle w:val="2"/>
        <w:ind w:left="0" w:leftChars="0" w:firstLine="480"/>
        <w:rPr>
          <w:rFonts w:ascii="宋体" w:hAnsi="宋体" w:eastAsia="宋体" w:cs="宋体"/>
          <w:sz w:val="24"/>
          <w:szCs w:val="24"/>
        </w:rPr>
      </w:pPr>
      <w:r>
        <w:rPr>
          <w:rFonts w:hint="eastAsia" w:ascii="宋体" w:hAnsi="宋体" w:eastAsia="宋体" w:cs="宋体"/>
          <w:sz w:val="24"/>
          <w:szCs w:val="24"/>
        </w:rPr>
        <w:t>（四）采购项目联系人</w:t>
      </w:r>
    </w:p>
    <w:p>
      <w:pPr>
        <w:pStyle w:val="2"/>
        <w:ind w:left="0" w:leftChars="0"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联系人： 俞老师          联系电话：13851768624</w:t>
      </w:r>
    </w:p>
    <w:p>
      <w:pPr>
        <w:pStyle w:val="2"/>
        <w:ind w:left="0" w:leftChars="0" w:firstLine="48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招标联系人：吕老师       联系电话：</w:t>
      </w:r>
      <w:r>
        <w:rPr>
          <w:rFonts w:ascii="宋体" w:hAnsi="宋体" w:eastAsia="宋体" w:cs="宋体"/>
          <w:sz w:val="24"/>
          <w:szCs w:val="24"/>
        </w:rPr>
        <w:t>86868572</w:t>
      </w:r>
    </w:p>
    <w:p>
      <w:pPr>
        <w:pStyle w:val="2"/>
        <w:ind w:left="0" w:leftChars="0" w:firstLine="48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numPr>
          <w:ilvl w:val="0"/>
          <w:numId w:val="4"/>
        </w:num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通过手机号和验证码登陆系统， 点击“入校申请”。（系统内访问部门：基础医学院法医学系，人员：俞延芳，联系方式：</w:t>
      </w:r>
      <w:r>
        <w:rPr>
          <w:rFonts w:ascii="宋体" w:hAnsi="宋体" w:eastAsia="宋体" w:cs="宋体"/>
          <w:sz w:val="24"/>
          <w:szCs w:val="24"/>
        </w:rPr>
        <w:t>13851768624</w:t>
      </w:r>
      <w:r>
        <w:rPr>
          <w:rFonts w:hint="eastAsia" w:ascii="宋体" w:hAnsi="宋体" w:eastAsia="宋体" w:cs="宋体"/>
          <w:sz w:val="24"/>
          <w:szCs w:val="24"/>
        </w:rPr>
        <w:t>）。</w:t>
      </w:r>
    </w:p>
    <w:p>
      <w:pPr>
        <w:pStyle w:val="2"/>
        <w:numPr>
          <w:ilvl w:val="0"/>
          <w:numId w:val="0"/>
        </w:numPr>
        <w:adjustRightInd w:val="0"/>
        <w:snapToGrid w:val="0"/>
        <w:spacing w:after="200"/>
      </w:pPr>
    </w:p>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1543050</wp:posOffset>
            </wp:positionH>
            <wp:positionV relativeFrom="paragraph">
              <wp:posOffset>123190</wp:posOffset>
            </wp:positionV>
            <wp:extent cx="1724025" cy="3017520"/>
            <wp:effectExtent l="0" t="0" r="0" b="0"/>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a:stretch>
                      <a:fillRect/>
                    </a:stretch>
                  </pic:blipFill>
                  <pic:spPr>
                    <a:xfrm>
                      <a:off x="0" y="0"/>
                      <a:ext cx="1738235" cy="3042623"/>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19"/>
        <w:ind w:firstLine="480"/>
        <w:rPr>
          <w:rFonts w:ascii="宋体" w:hAnsi="宋体" w:cs="宋体"/>
          <w:sz w:val="24"/>
          <w:szCs w:val="24"/>
        </w:rPr>
      </w:pPr>
    </w:p>
    <w:p>
      <w:pPr>
        <w:rPr>
          <w:rFonts w:ascii="宋体" w:hAnsi="宋体" w:eastAsia="宋体" w:cs="宋体"/>
          <w:sz w:val="24"/>
          <w:szCs w:val="24"/>
        </w:rPr>
      </w:pPr>
    </w:p>
    <w:p>
      <w:pPr>
        <w:pStyle w:val="19"/>
      </w:pPr>
    </w:p>
    <w:p>
      <w:pPr>
        <w:spacing w:after="0" w:line="360" w:lineRule="auto"/>
        <w:ind w:firstLine="480" w:firstLineChars="200"/>
        <w:rPr>
          <w:rFonts w:ascii="宋体" w:hAnsi="宋体" w:eastAsia="宋体" w:cs="宋体"/>
          <w:sz w:val="24"/>
          <w:szCs w:val="24"/>
        </w:rPr>
      </w:pPr>
    </w:p>
    <w:p>
      <w:pPr>
        <w:spacing w:after="0" w:line="360" w:lineRule="auto"/>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七、投标无效的情形</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八、其他</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（一）现场勘查和标前会议根据项目特点确定是否需要。</w:t>
      </w:r>
    </w:p>
    <w:p>
      <w:pPr>
        <w:pStyle w:val="27"/>
        <w:spacing w:before="120" w:beforeLines="50" w:after="120" w:afterLines="50" w:line="360" w:lineRule="auto"/>
        <w:ind w:firstLine="640"/>
        <w:rPr>
          <w:rFonts w:asciiTheme="minorEastAsia" w:hAnsiTheme="minorEastAsia" w:eastAsiaTheme="minorEastAsia"/>
          <w:bCs/>
          <w:sz w:val="32"/>
          <w:szCs w:val="28"/>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sz w:val="44"/>
        </w:rPr>
      </w:pPr>
      <w:bookmarkStart w:id="17" w:name="_Toc149807451"/>
      <w:r>
        <w:rPr>
          <w:rFonts w:hint="eastAsia" w:asciiTheme="majorEastAsia" w:hAnsiTheme="majorEastAsia" w:eastAsiaTheme="majorEastAsia"/>
          <w:b/>
          <w:sz w:val="44"/>
        </w:rPr>
        <w:t xml:space="preserve">第二章  </w:t>
      </w:r>
      <w:bookmarkStart w:id="18" w:name="_Toc20823274"/>
      <w:bookmarkStart w:id="19" w:name="_Toc120614213"/>
      <w:bookmarkStart w:id="20" w:name="_Toc513029202"/>
      <w:bookmarkStart w:id="21" w:name="_Toc16938518"/>
      <w:r>
        <w:rPr>
          <w:rFonts w:hint="eastAsia" w:asciiTheme="majorEastAsia" w:hAnsiTheme="majorEastAsia" w:eastAsiaTheme="majorEastAsia"/>
          <w:b/>
          <w:sz w:val="44"/>
        </w:rPr>
        <w:t>投标人须知</w:t>
      </w:r>
      <w:bookmarkEnd w:id="17"/>
      <w:bookmarkEnd w:id="18"/>
      <w:bookmarkEnd w:id="19"/>
      <w:bookmarkEnd w:id="20"/>
      <w:bookmarkEnd w:id="21"/>
    </w:p>
    <w:p>
      <w:pPr>
        <w:pStyle w:val="28"/>
        <w:rPr>
          <w:rFonts w:ascii="宋体" w:hAnsi="宋体" w:cs="宋体"/>
          <w:b/>
        </w:rPr>
      </w:pPr>
      <w:bookmarkStart w:id="22" w:name="_Toc120614214"/>
      <w:bookmarkStart w:id="23" w:name="_Toc20823275"/>
      <w:bookmarkStart w:id="24" w:name="_Toc513029203"/>
      <w:bookmarkStart w:id="25" w:name="_Toc16938519"/>
      <w:r>
        <w:rPr>
          <w:rFonts w:hint="eastAsia" w:ascii="宋体" w:hAnsi="宋体" w:cs="宋体"/>
          <w:b/>
        </w:rPr>
        <w:t>一、总则</w:t>
      </w:r>
      <w:bookmarkEnd w:id="22"/>
      <w:bookmarkEnd w:id="23"/>
      <w:bookmarkEnd w:id="24"/>
      <w:bookmarkEnd w:id="25"/>
    </w:p>
    <w:p>
      <w:pPr>
        <w:pStyle w:val="28"/>
        <w:rPr>
          <w:rFonts w:ascii="宋体" w:hAnsi="宋体" w:cs="宋体"/>
          <w:b/>
          <w:bCs/>
        </w:rPr>
      </w:pPr>
      <w:bookmarkStart w:id="26" w:name="_Hlt16619475"/>
      <w:bookmarkEnd w:id="26"/>
      <w:bookmarkStart w:id="27" w:name="_Toc458694821"/>
      <w:bookmarkStart w:id="28" w:name="_Toc513029204"/>
      <w:bookmarkStart w:id="29" w:name="_Toc16938520"/>
      <w:bookmarkStart w:id="30" w:name="_Toc20823276"/>
      <w:r>
        <w:rPr>
          <w:rFonts w:hint="eastAsia" w:ascii="宋体" w:hAnsi="宋体" w:cs="宋体"/>
          <w:b/>
          <w:bCs/>
        </w:rPr>
        <w:t>1</w:t>
      </w:r>
      <w:bookmarkEnd w:id="27"/>
      <w:r>
        <w:rPr>
          <w:rFonts w:hint="eastAsia" w:ascii="宋体" w:hAnsi="宋体" w:cs="宋体"/>
          <w:b/>
          <w:bCs/>
        </w:rPr>
        <w:t>.招标方式</w:t>
      </w:r>
      <w:bookmarkEnd w:id="28"/>
      <w:bookmarkEnd w:id="29"/>
      <w:bookmarkEnd w:id="30"/>
    </w:p>
    <w:p>
      <w:pPr>
        <w:pStyle w:val="28"/>
        <w:rPr>
          <w:rFonts w:ascii="宋体" w:hAnsi="宋体" w:cs="宋体"/>
        </w:rPr>
      </w:pPr>
      <w:r>
        <w:rPr>
          <w:rFonts w:hint="eastAsia" w:ascii="宋体" w:hAnsi="宋体" w:cs="宋体"/>
        </w:rPr>
        <w:t>1.1 本次招标采取公开招标方式，本招标文件仅适用于招标公告中所述项目。</w:t>
      </w:r>
    </w:p>
    <w:p>
      <w:pPr>
        <w:pStyle w:val="28"/>
        <w:rPr>
          <w:rFonts w:ascii="宋体" w:hAnsi="宋体" w:cs="宋体"/>
          <w:b/>
          <w:bCs/>
        </w:rPr>
      </w:pPr>
      <w:bookmarkStart w:id="31" w:name="_Toc20823277"/>
      <w:bookmarkStart w:id="32" w:name="_Toc16938521"/>
      <w:bookmarkStart w:id="33" w:name="_Toc513029205"/>
      <w:r>
        <w:rPr>
          <w:rFonts w:hint="eastAsia" w:ascii="宋体" w:hAnsi="宋体" w:cs="宋体"/>
          <w:b/>
          <w:bCs/>
        </w:rPr>
        <w:t>2.合格的投标人</w:t>
      </w:r>
      <w:bookmarkEnd w:id="31"/>
      <w:bookmarkEnd w:id="32"/>
      <w:bookmarkEnd w:id="33"/>
    </w:p>
    <w:p>
      <w:pPr>
        <w:pStyle w:val="28"/>
        <w:rPr>
          <w:rFonts w:ascii="宋体" w:hAnsi="宋体" w:cs="宋体"/>
        </w:rPr>
      </w:pPr>
      <w:r>
        <w:rPr>
          <w:rFonts w:hint="eastAsia" w:ascii="宋体" w:hAnsi="宋体" w:cs="宋体"/>
        </w:rPr>
        <w:t>2.1满足招标公告中供应商资格要求的规定。</w:t>
      </w:r>
    </w:p>
    <w:p>
      <w:pPr>
        <w:pStyle w:val="28"/>
        <w:rPr>
          <w:rFonts w:ascii="宋体" w:hAnsi="宋体" w:cs="宋体"/>
        </w:rPr>
      </w:pPr>
      <w:r>
        <w:rPr>
          <w:rFonts w:hint="eastAsia" w:ascii="宋体" w:hAnsi="宋体" w:cs="宋体"/>
        </w:rPr>
        <w:t>2.2 满足本文件实质性条款的规定。</w:t>
      </w:r>
    </w:p>
    <w:p>
      <w:pPr>
        <w:pStyle w:val="28"/>
        <w:rPr>
          <w:rFonts w:ascii="宋体" w:hAnsi="宋体" w:cs="宋体"/>
          <w:b/>
          <w:bCs/>
        </w:rPr>
      </w:pPr>
      <w:bookmarkStart w:id="34" w:name="_Toc16938522"/>
      <w:bookmarkStart w:id="35" w:name="_Toc513029206"/>
      <w:bookmarkStart w:id="36" w:name="_Toc20823278"/>
      <w:r>
        <w:rPr>
          <w:rFonts w:hint="eastAsia" w:ascii="宋体" w:hAnsi="宋体" w:cs="宋体"/>
          <w:b/>
          <w:bCs/>
        </w:rPr>
        <w:t>3.适用法律</w:t>
      </w:r>
      <w:bookmarkEnd w:id="34"/>
      <w:bookmarkEnd w:id="35"/>
      <w:bookmarkEnd w:id="36"/>
    </w:p>
    <w:p>
      <w:pPr>
        <w:pStyle w:val="28"/>
        <w:rPr>
          <w:rFonts w:ascii="宋体" w:hAnsi="宋体" w:cs="宋体"/>
        </w:rPr>
      </w:pPr>
      <w:r>
        <w:rPr>
          <w:rFonts w:hint="eastAsia" w:ascii="宋体" w:hAnsi="宋体" w:cs="宋体"/>
        </w:rPr>
        <w:t>本次招标及由此产生的合同受中华人民共和国有关的法律法规制约和保护。</w:t>
      </w:r>
    </w:p>
    <w:p>
      <w:pPr>
        <w:pStyle w:val="28"/>
        <w:rPr>
          <w:rFonts w:ascii="宋体" w:hAnsi="宋体" w:cs="宋体"/>
          <w:b/>
          <w:bCs/>
        </w:rPr>
      </w:pPr>
      <w:bookmarkStart w:id="37" w:name="_Toc462564067"/>
      <w:bookmarkStart w:id="38" w:name="_Toc513029207"/>
      <w:bookmarkStart w:id="39" w:name="_Toc20823279"/>
      <w:bookmarkStart w:id="40" w:name="_Toc16938523"/>
      <w:r>
        <w:rPr>
          <w:rFonts w:hint="eastAsia" w:ascii="宋体" w:hAnsi="宋体" w:cs="宋体"/>
          <w:b/>
          <w:bCs/>
        </w:rPr>
        <w:t>4.投标费用</w:t>
      </w:r>
      <w:bookmarkEnd w:id="37"/>
      <w:bookmarkEnd w:id="38"/>
      <w:bookmarkEnd w:id="39"/>
      <w:bookmarkEnd w:id="40"/>
    </w:p>
    <w:p>
      <w:pPr>
        <w:pStyle w:val="28"/>
        <w:rPr>
          <w:rFonts w:ascii="宋体" w:hAnsi="宋体" w:cs="宋体"/>
        </w:rPr>
      </w:pPr>
      <w:r>
        <w:rPr>
          <w:rFonts w:hint="eastAsia" w:ascii="宋体" w:hAnsi="宋体" w:cs="宋体"/>
        </w:rPr>
        <w:t>投标人应自行承担所有与参加投标有关的费用。</w:t>
      </w:r>
    </w:p>
    <w:p>
      <w:pPr>
        <w:pStyle w:val="28"/>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28"/>
        <w:rPr>
          <w:rFonts w:ascii="宋体" w:hAnsi="宋体" w:cs="宋体"/>
        </w:rPr>
      </w:pPr>
      <w:r>
        <w:rPr>
          <w:rFonts w:hint="eastAsia" w:ascii="宋体" w:hAnsi="宋体" w:cs="宋体"/>
        </w:rPr>
        <w:t>投标人一旦参加本项目采购活动，即被认为接受了本招标文件的规定和约束。</w:t>
      </w:r>
    </w:p>
    <w:p>
      <w:pPr>
        <w:pStyle w:val="28"/>
        <w:rPr>
          <w:rFonts w:ascii="宋体" w:hAnsi="宋体" w:cs="宋体"/>
          <w:b/>
        </w:rPr>
      </w:pPr>
      <w:bookmarkStart w:id="41" w:name="_Toc513029209"/>
      <w:bookmarkStart w:id="42" w:name="_Toc517190883"/>
      <w:bookmarkStart w:id="43" w:name="_Toc120614215"/>
      <w:bookmarkStart w:id="44" w:name="_Toc16938525"/>
      <w:bookmarkStart w:id="45" w:name="_Toc20823281"/>
      <w:r>
        <w:rPr>
          <w:rFonts w:hint="eastAsia" w:ascii="宋体" w:hAnsi="宋体" w:cs="宋体"/>
          <w:b/>
        </w:rPr>
        <w:t>二、招标文件</w:t>
      </w:r>
      <w:bookmarkEnd w:id="41"/>
      <w:bookmarkEnd w:id="42"/>
      <w:bookmarkEnd w:id="43"/>
      <w:bookmarkEnd w:id="44"/>
      <w:bookmarkEnd w:id="45"/>
    </w:p>
    <w:p>
      <w:pPr>
        <w:pStyle w:val="28"/>
        <w:rPr>
          <w:rFonts w:ascii="宋体" w:hAnsi="宋体" w:cs="宋体"/>
          <w:b/>
          <w:bCs/>
        </w:rPr>
      </w:pPr>
      <w:bookmarkStart w:id="46" w:name="_Toc513029210"/>
      <w:bookmarkStart w:id="47" w:name="_Toc16938526"/>
      <w:bookmarkStart w:id="48" w:name="_Toc20823282"/>
      <w:r>
        <w:rPr>
          <w:rFonts w:hint="eastAsia" w:ascii="宋体" w:hAnsi="宋体" w:cs="宋体"/>
          <w:b/>
          <w:bCs/>
        </w:rPr>
        <w:t>6.招标文件构成</w:t>
      </w:r>
      <w:bookmarkEnd w:id="46"/>
      <w:bookmarkEnd w:id="47"/>
      <w:bookmarkEnd w:id="48"/>
    </w:p>
    <w:p>
      <w:pPr>
        <w:pStyle w:val="28"/>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28"/>
        <w:rPr>
          <w:rFonts w:ascii="宋体" w:hAnsi="宋体" w:cs="宋体"/>
        </w:rPr>
      </w:pPr>
      <w:r>
        <w:rPr>
          <w:rFonts w:hint="eastAsia" w:ascii="宋体" w:hAnsi="宋体" w:cs="宋体"/>
        </w:rPr>
        <w:t>（1）招标公告</w:t>
      </w:r>
    </w:p>
    <w:p>
      <w:pPr>
        <w:pStyle w:val="28"/>
        <w:rPr>
          <w:rFonts w:ascii="宋体" w:hAnsi="宋体" w:cs="宋体"/>
        </w:rPr>
      </w:pPr>
      <w:r>
        <w:rPr>
          <w:rFonts w:hint="eastAsia" w:ascii="宋体" w:hAnsi="宋体" w:cs="宋体"/>
        </w:rPr>
        <w:t>（2）投标人须知</w:t>
      </w:r>
    </w:p>
    <w:p>
      <w:pPr>
        <w:pStyle w:val="28"/>
        <w:rPr>
          <w:rFonts w:ascii="宋体" w:hAnsi="宋体" w:cs="宋体"/>
        </w:rPr>
      </w:pPr>
      <w:r>
        <w:rPr>
          <w:rFonts w:hint="eastAsia" w:ascii="宋体" w:hAnsi="宋体" w:cs="宋体"/>
        </w:rPr>
        <w:t>（3）项目需求</w:t>
      </w:r>
    </w:p>
    <w:p>
      <w:pPr>
        <w:pStyle w:val="28"/>
        <w:rPr>
          <w:rFonts w:ascii="宋体" w:hAnsi="宋体" w:cs="宋体"/>
        </w:rPr>
      </w:pPr>
      <w:r>
        <w:rPr>
          <w:rFonts w:hint="eastAsia" w:ascii="宋体" w:hAnsi="宋体" w:cs="宋体"/>
        </w:rPr>
        <w:t>（4）评标方法与评标标准</w:t>
      </w:r>
    </w:p>
    <w:p>
      <w:pPr>
        <w:pStyle w:val="28"/>
        <w:rPr>
          <w:rFonts w:ascii="宋体" w:hAnsi="宋体" w:cs="宋体"/>
        </w:rPr>
      </w:pPr>
      <w:r>
        <w:rPr>
          <w:rFonts w:hint="eastAsia" w:ascii="宋体" w:hAnsi="宋体" w:cs="宋体"/>
        </w:rPr>
        <w:t>（5）投标文件格式</w:t>
      </w:r>
    </w:p>
    <w:p>
      <w:pPr>
        <w:pStyle w:val="28"/>
        <w:rPr>
          <w:rFonts w:ascii="宋体" w:hAnsi="宋体" w:cs="宋体"/>
        </w:rPr>
      </w:pPr>
      <w:r>
        <w:rPr>
          <w:rFonts w:hint="eastAsia" w:ascii="宋体" w:hAnsi="宋体" w:cs="宋体"/>
        </w:rPr>
        <w:t>（6）签订合同范本</w:t>
      </w:r>
    </w:p>
    <w:p>
      <w:pPr>
        <w:pStyle w:val="28"/>
        <w:rPr>
          <w:rFonts w:ascii="宋体" w:hAnsi="宋体" w:cs="宋体"/>
        </w:rPr>
      </w:pPr>
      <w:r>
        <w:rPr>
          <w:rFonts w:hint="eastAsia" w:ascii="宋体" w:hAnsi="宋体" w:cs="宋体"/>
        </w:rPr>
        <w:t>请仔细检查招标文件是否齐全，如有缺漏请立即与采购人联系解决。</w:t>
      </w:r>
    </w:p>
    <w:p>
      <w:pPr>
        <w:pStyle w:val="28"/>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8"/>
        <w:rPr>
          <w:rFonts w:ascii="宋体" w:hAnsi="宋体" w:cs="宋体"/>
          <w:b/>
          <w:bCs/>
        </w:rPr>
      </w:pPr>
      <w:bookmarkStart w:id="49" w:name="_Toc513029211"/>
      <w:bookmarkStart w:id="50" w:name="_Toc20823283"/>
      <w:bookmarkStart w:id="51" w:name="_Toc462564070"/>
      <w:bookmarkStart w:id="52" w:name="_Toc16938527"/>
      <w:r>
        <w:rPr>
          <w:rFonts w:hint="eastAsia" w:ascii="宋体" w:hAnsi="宋体" w:cs="宋体"/>
          <w:b/>
          <w:bCs/>
        </w:rPr>
        <w:t>7.招标文件的澄清</w:t>
      </w:r>
      <w:bookmarkEnd w:id="49"/>
      <w:bookmarkEnd w:id="50"/>
      <w:bookmarkEnd w:id="51"/>
      <w:bookmarkEnd w:id="52"/>
    </w:p>
    <w:p>
      <w:pPr>
        <w:pStyle w:val="28"/>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28"/>
        <w:rPr>
          <w:rFonts w:ascii="宋体" w:hAnsi="宋体" w:cs="宋体"/>
          <w:b/>
          <w:bCs/>
        </w:rPr>
      </w:pPr>
      <w:bookmarkStart w:id="53" w:name="_Toc16938528"/>
      <w:bookmarkStart w:id="54" w:name="_Toc513029212"/>
      <w:bookmarkStart w:id="55" w:name="_Toc462564071"/>
      <w:bookmarkStart w:id="56" w:name="_Toc20823284"/>
      <w:r>
        <w:rPr>
          <w:rFonts w:hint="eastAsia" w:ascii="宋体" w:hAnsi="宋体" w:cs="宋体"/>
          <w:b/>
          <w:bCs/>
        </w:rPr>
        <w:t>8.招标文件的修改</w:t>
      </w:r>
      <w:bookmarkEnd w:id="53"/>
      <w:bookmarkEnd w:id="54"/>
      <w:bookmarkEnd w:id="55"/>
      <w:bookmarkEnd w:id="56"/>
    </w:p>
    <w:p>
      <w:pPr>
        <w:pStyle w:val="28"/>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28"/>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28"/>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28"/>
        <w:rPr>
          <w:rFonts w:ascii="宋体" w:hAnsi="宋体" w:cs="宋体"/>
          <w:b/>
        </w:rPr>
      </w:pPr>
      <w:bookmarkStart w:id="57" w:name="_Toc16938529"/>
      <w:bookmarkStart w:id="58" w:name="_Toc462564072"/>
      <w:bookmarkStart w:id="59" w:name="_Toc20823285"/>
      <w:bookmarkStart w:id="60" w:name="_Toc513029213"/>
      <w:bookmarkStart w:id="61" w:name="_Toc517190884"/>
      <w:bookmarkStart w:id="62" w:name="_Toc120614216"/>
      <w:r>
        <w:rPr>
          <w:rFonts w:hint="eastAsia" w:ascii="宋体" w:hAnsi="宋体" w:cs="宋体"/>
          <w:b/>
        </w:rPr>
        <w:t>三、投标文件的编制</w:t>
      </w:r>
      <w:bookmarkEnd w:id="57"/>
      <w:bookmarkEnd w:id="58"/>
      <w:bookmarkEnd w:id="59"/>
      <w:bookmarkEnd w:id="60"/>
      <w:bookmarkEnd w:id="61"/>
      <w:bookmarkEnd w:id="62"/>
    </w:p>
    <w:p>
      <w:pPr>
        <w:pStyle w:val="28"/>
        <w:rPr>
          <w:rFonts w:ascii="宋体" w:hAnsi="宋体" w:cs="宋体"/>
          <w:bCs/>
        </w:rPr>
      </w:pPr>
      <w:bookmarkStart w:id="63" w:name="_Toc513029214"/>
      <w:bookmarkStart w:id="64" w:name="_Toc462564073"/>
      <w:bookmarkStart w:id="65" w:name="_Toc20823286"/>
      <w:bookmarkStart w:id="66" w:name="_Toc16938530"/>
      <w:r>
        <w:rPr>
          <w:rFonts w:hint="eastAsia" w:ascii="宋体" w:hAnsi="宋体" w:cs="宋体"/>
          <w:b/>
          <w:bCs/>
        </w:rPr>
        <w:t>9.投标文件的语言及度量衡单位</w:t>
      </w:r>
      <w:bookmarkEnd w:id="63"/>
      <w:bookmarkEnd w:id="64"/>
      <w:bookmarkEnd w:id="65"/>
      <w:bookmarkEnd w:id="66"/>
    </w:p>
    <w:p>
      <w:pPr>
        <w:pStyle w:val="28"/>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28"/>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28"/>
        <w:rPr>
          <w:rFonts w:ascii="宋体" w:hAnsi="宋体" w:cs="宋体"/>
          <w:b/>
          <w:bCs/>
        </w:rPr>
      </w:pPr>
      <w:bookmarkStart w:id="67" w:name="_Toc462564074"/>
      <w:bookmarkStart w:id="68" w:name="_Toc513029215"/>
      <w:bookmarkStart w:id="69" w:name="_Toc16938531"/>
      <w:bookmarkStart w:id="70" w:name="_Toc20823287"/>
      <w:r>
        <w:rPr>
          <w:rFonts w:hint="eastAsia" w:ascii="宋体" w:hAnsi="宋体" w:cs="宋体"/>
          <w:b/>
          <w:bCs/>
        </w:rPr>
        <w:t>10.投标文件构成</w:t>
      </w:r>
      <w:bookmarkEnd w:id="67"/>
      <w:bookmarkEnd w:id="68"/>
      <w:bookmarkEnd w:id="69"/>
      <w:bookmarkEnd w:id="70"/>
    </w:p>
    <w:p>
      <w:pPr>
        <w:pStyle w:val="28"/>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28"/>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28"/>
        <w:rPr>
          <w:rFonts w:ascii="宋体" w:hAnsi="宋体" w:cs="宋体"/>
          <w:b/>
          <w:bCs/>
        </w:rPr>
      </w:pPr>
      <w:bookmarkStart w:id="71" w:name="_Hlt26954838"/>
      <w:bookmarkEnd w:id="71"/>
      <w:bookmarkStart w:id="72" w:name="_Hlt26670360"/>
      <w:bookmarkEnd w:id="72"/>
      <w:bookmarkStart w:id="73" w:name="_Hlt26668975"/>
      <w:bookmarkEnd w:id="73"/>
      <w:bookmarkStart w:id="74" w:name="_Toc14577357"/>
      <w:bookmarkStart w:id="75" w:name="_Toc49090509"/>
      <w:bookmarkStart w:id="76" w:name="_Toc513029219"/>
      <w:bookmarkStart w:id="77" w:name="_Toc49090507"/>
      <w:bookmarkStart w:id="78" w:name="_Toc513029216"/>
      <w:bookmarkStart w:id="79" w:name="_Toc14577354"/>
      <w:r>
        <w:rPr>
          <w:rFonts w:hint="eastAsia" w:ascii="宋体" w:hAnsi="宋体" w:cs="宋体"/>
          <w:b/>
          <w:bCs/>
        </w:rPr>
        <w:t>11.证明投标人资格及符合招标文件规定的文件</w:t>
      </w:r>
      <w:bookmarkEnd w:id="74"/>
      <w:bookmarkEnd w:id="75"/>
      <w:bookmarkEnd w:id="76"/>
    </w:p>
    <w:p>
      <w:pPr>
        <w:pStyle w:val="28"/>
        <w:rPr>
          <w:rFonts w:ascii="宋体" w:hAnsi="宋体" w:cs="宋体"/>
        </w:rPr>
      </w:pPr>
      <w:r>
        <w:rPr>
          <w:rFonts w:hint="eastAsia" w:ascii="宋体" w:hAnsi="宋体" w:cs="宋体"/>
        </w:rPr>
        <w:t>11.1</w:t>
      </w:r>
      <w:bookmarkStart w:id="80" w:name="_Hlt26668999"/>
      <w:bookmarkEnd w:id="80"/>
      <w:r>
        <w:rPr>
          <w:rFonts w:hint="eastAsia" w:ascii="宋体" w:hAnsi="宋体" w:cs="宋体"/>
        </w:rPr>
        <w:t>投标人应按要求提交资格证明文件及符合招标文件规定的文件。</w:t>
      </w:r>
    </w:p>
    <w:p>
      <w:pPr>
        <w:pStyle w:val="28"/>
        <w:rPr>
          <w:rFonts w:ascii="宋体" w:hAnsi="宋体" w:cs="宋体"/>
        </w:rPr>
      </w:pPr>
      <w:r>
        <w:rPr>
          <w:rFonts w:hint="eastAsia" w:ascii="宋体" w:hAnsi="宋体" w:cs="宋体"/>
        </w:rPr>
        <w:t>11.2投标人应具有资格参加投标和中标后有能力独立履行合同的能力。</w:t>
      </w:r>
    </w:p>
    <w:p>
      <w:pPr>
        <w:pStyle w:val="28"/>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28"/>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28"/>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7"/>
    <w:bookmarkEnd w:id="78"/>
    <w:bookmarkEnd w:id="79"/>
    <w:p>
      <w:pPr>
        <w:pStyle w:val="28"/>
        <w:rPr>
          <w:rFonts w:ascii="宋体" w:hAnsi="宋体" w:cs="宋体"/>
          <w:b/>
          <w:bCs/>
        </w:rPr>
      </w:pPr>
      <w:bookmarkStart w:id="81" w:name="_Toc14577355"/>
      <w:bookmarkStart w:id="82" w:name="_Toc49090508"/>
      <w:r>
        <w:rPr>
          <w:rFonts w:hint="eastAsia" w:ascii="宋体" w:hAnsi="宋体" w:cs="宋体"/>
          <w:b/>
          <w:bCs/>
        </w:rPr>
        <w:t>12.供货一览表与分项报价</w:t>
      </w:r>
      <w:bookmarkEnd w:id="81"/>
      <w:bookmarkStart w:id="83" w:name="_Hlt26670373"/>
      <w:bookmarkEnd w:id="83"/>
      <w:r>
        <w:rPr>
          <w:rFonts w:hint="eastAsia" w:ascii="宋体" w:hAnsi="宋体" w:cs="宋体"/>
          <w:b/>
          <w:bCs/>
        </w:rPr>
        <w:t>表</w:t>
      </w:r>
      <w:bookmarkEnd w:id="82"/>
    </w:p>
    <w:p>
      <w:pPr>
        <w:pStyle w:val="28"/>
        <w:rPr>
          <w:rFonts w:ascii="宋体" w:hAnsi="宋体" w:cs="宋体"/>
          <w:bCs/>
        </w:rPr>
      </w:pPr>
      <w:r>
        <w:rPr>
          <w:rFonts w:hint="eastAsia" w:ascii="宋体" w:hAnsi="宋体" w:cs="宋体"/>
        </w:rPr>
        <w:t>投</w:t>
      </w:r>
      <w:bookmarkStart w:id="84" w:name="_Hlt26954840"/>
      <w:bookmarkEnd w:id="84"/>
      <w:r>
        <w:rPr>
          <w:rFonts w:hint="eastAsia" w:ascii="宋体" w:hAnsi="宋体" w:cs="宋体"/>
        </w:rPr>
        <w:t>标人应按照招标文件规定格式填报供货一览表与分项报价表</w:t>
      </w:r>
      <w:bookmarkStart w:id="85" w:name="_Hlt26670399"/>
      <w:bookmarkEnd w:id="85"/>
      <w:r>
        <w:rPr>
          <w:rFonts w:hint="eastAsia" w:ascii="宋体" w:hAnsi="宋体" w:cs="宋体"/>
        </w:rPr>
        <w:t>。每项货物和服务等只允许有一个报价，任何有选择的报价将不予接受(如有备选配件，备选配件的报价不属于选择的报价)。</w:t>
      </w:r>
    </w:p>
    <w:p>
      <w:pPr>
        <w:pStyle w:val="28"/>
        <w:rPr>
          <w:rFonts w:ascii="宋体" w:hAnsi="宋体" w:cs="宋体"/>
          <w:bCs/>
        </w:rPr>
      </w:pPr>
      <w:r>
        <w:rPr>
          <w:rFonts w:hint="eastAsia" w:ascii="宋体" w:hAnsi="宋体" w:cs="宋体"/>
        </w:rPr>
        <w:t>12.3</w:t>
      </w:r>
      <w:r>
        <w:rPr>
          <w:rFonts w:hint="eastAsia" w:ascii="宋体" w:hAnsi="宋体" w:cs="宋体"/>
          <w:bCs/>
        </w:rPr>
        <w:t>有关费用处理</w:t>
      </w:r>
    </w:p>
    <w:p>
      <w:pPr>
        <w:pStyle w:val="28"/>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28"/>
        <w:rPr>
          <w:rFonts w:ascii="宋体" w:hAnsi="宋体" w:cs="宋体"/>
          <w:bCs/>
        </w:rPr>
      </w:pPr>
      <w:r>
        <w:rPr>
          <w:rFonts w:hint="eastAsia" w:ascii="宋体" w:hAnsi="宋体" w:cs="宋体"/>
        </w:rPr>
        <w:t>12.4</w:t>
      </w:r>
      <w:r>
        <w:rPr>
          <w:rFonts w:hint="eastAsia" w:ascii="宋体" w:hAnsi="宋体" w:cs="宋体"/>
          <w:bCs/>
        </w:rPr>
        <w:t>其它费用处理</w:t>
      </w:r>
    </w:p>
    <w:p>
      <w:pPr>
        <w:pStyle w:val="28"/>
        <w:rPr>
          <w:rFonts w:ascii="宋体" w:hAnsi="宋体" w:cs="宋体"/>
          <w:bCs/>
        </w:rPr>
      </w:pPr>
      <w:r>
        <w:rPr>
          <w:rFonts w:hint="eastAsia" w:ascii="宋体" w:hAnsi="宋体" w:cs="宋体"/>
          <w:bCs/>
        </w:rPr>
        <w:t>招标文件未列明，而投标人认为必需的费用也需列入报价。</w:t>
      </w:r>
    </w:p>
    <w:p>
      <w:pPr>
        <w:pStyle w:val="28"/>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28"/>
        <w:rPr>
          <w:rFonts w:ascii="宋体" w:hAnsi="宋体" w:cs="宋体"/>
          <w:bCs/>
        </w:rPr>
      </w:pPr>
      <w:bookmarkStart w:id="86" w:name="_Hlt26670425"/>
      <w:bookmarkEnd w:id="86"/>
      <w:bookmarkStart w:id="87" w:name="_Hlt26668983"/>
      <w:bookmarkEnd w:id="87"/>
      <w:bookmarkStart w:id="88" w:name="_Hlt26670403"/>
      <w:bookmarkEnd w:id="88"/>
      <w:bookmarkStart w:id="89" w:name="_Hlt26954842"/>
      <w:bookmarkEnd w:id="89"/>
      <w:bookmarkStart w:id="90" w:name="_Hlt26954844"/>
      <w:bookmarkEnd w:id="90"/>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28"/>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28"/>
        <w:rPr>
          <w:rFonts w:ascii="宋体" w:hAnsi="宋体" w:cs="宋体"/>
          <w:b/>
          <w:bCs/>
        </w:rPr>
      </w:pPr>
      <w:bookmarkStart w:id="91" w:name="_Hlt26670482"/>
      <w:bookmarkEnd w:id="91"/>
      <w:bookmarkStart w:id="92" w:name="_Hlt26954846"/>
      <w:bookmarkEnd w:id="92"/>
      <w:bookmarkStart w:id="93" w:name="_Hlt26670486"/>
      <w:bookmarkEnd w:id="93"/>
      <w:bookmarkStart w:id="94" w:name="_Hlt26954731"/>
      <w:bookmarkEnd w:id="94"/>
      <w:bookmarkStart w:id="95" w:name="_Hlt26954848"/>
      <w:bookmarkEnd w:id="95"/>
      <w:r>
        <w:rPr>
          <w:rFonts w:hint="eastAsia" w:ascii="宋体" w:hAnsi="宋体" w:cs="宋体"/>
          <w:b/>
          <w:bCs/>
        </w:rPr>
        <w:t>13.技术参数响应及偏离表和投标货物说明</w:t>
      </w:r>
    </w:p>
    <w:p>
      <w:pPr>
        <w:pStyle w:val="28"/>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28"/>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28"/>
        <w:rPr>
          <w:rFonts w:ascii="宋体" w:hAnsi="宋体" w:cs="宋体"/>
          <w:lang w:val="zh-CN"/>
        </w:rPr>
      </w:pPr>
      <w:r>
        <w:rPr>
          <w:rFonts w:hint="eastAsia" w:ascii="宋体" w:hAnsi="宋体" w:cs="宋体"/>
          <w:lang w:val="zh-CN"/>
        </w:rPr>
        <w:t>13.3 投标人认为需要的其他技术文件或说明。</w:t>
      </w:r>
    </w:p>
    <w:p>
      <w:pPr>
        <w:pStyle w:val="28"/>
        <w:rPr>
          <w:rFonts w:ascii="宋体" w:hAnsi="宋体" w:cs="宋体"/>
          <w:b/>
          <w:bCs/>
        </w:rPr>
      </w:pPr>
      <w:r>
        <w:rPr>
          <w:rFonts w:hint="eastAsia" w:ascii="宋体" w:hAnsi="宋体" w:cs="宋体"/>
          <w:b/>
          <w:bCs/>
        </w:rPr>
        <w:t>14.服务承诺及售后服务机构、人员的情况介绍</w:t>
      </w:r>
    </w:p>
    <w:p>
      <w:pPr>
        <w:pStyle w:val="28"/>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28"/>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28"/>
        <w:rPr>
          <w:rFonts w:ascii="宋体" w:hAnsi="宋体" w:cs="宋体"/>
          <w:lang w:val="zh-CN"/>
        </w:rPr>
      </w:pPr>
      <w:r>
        <w:rPr>
          <w:rFonts w:hint="eastAsia" w:ascii="宋体" w:hAnsi="宋体" w:cs="宋体"/>
          <w:lang w:val="zh-CN"/>
        </w:rPr>
        <w:t>14.3 培训计划；</w:t>
      </w:r>
    </w:p>
    <w:p>
      <w:pPr>
        <w:pStyle w:val="28"/>
        <w:rPr>
          <w:rFonts w:ascii="宋体" w:hAnsi="宋体" w:cs="宋体"/>
          <w:lang w:val="zh-CN"/>
        </w:rPr>
      </w:pPr>
      <w:r>
        <w:rPr>
          <w:rFonts w:hint="eastAsia" w:ascii="宋体" w:hAnsi="宋体" w:cs="宋体"/>
          <w:lang w:val="zh-CN"/>
        </w:rPr>
        <w:t>14.4 提供参加本项目类似案例简介；</w:t>
      </w:r>
    </w:p>
    <w:p>
      <w:pPr>
        <w:pStyle w:val="28"/>
        <w:rPr>
          <w:rFonts w:ascii="宋体" w:hAnsi="宋体" w:cs="宋体"/>
          <w:b/>
          <w:bCs/>
        </w:rPr>
      </w:pPr>
      <w:bookmarkStart w:id="96" w:name="_Toc14577359"/>
      <w:bookmarkStart w:id="97" w:name="_Toc49090510"/>
      <w:r>
        <w:rPr>
          <w:rFonts w:hint="eastAsia" w:ascii="宋体" w:hAnsi="宋体" w:cs="宋体"/>
          <w:b/>
          <w:bCs/>
        </w:rPr>
        <w:t>15.投标函和开标一览表</w:t>
      </w:r>
    </w:p>
    <w:p>
      <w:pPr>
        <w:pStyle w:val="28"/>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28"/>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28"/>
        <w:rPr>
          <w:rFonts w:ascii="宋体" w:hAnsi="宋体" w:cs="宋体"/>
          <w:i/>
          <w:color w:val="FF0000"/>
          <w:u w:val="single"/>
        </w:rPr>
      </w:pPr>
      <w:r>
        <w:rPr>
          <w:rFonts w:hint="eastAsia" w:ascii="宋体" w:hAnsi="宋体" w:cs="宋体"/>
          <w:bCs/>
          <w:color w:val="FF0000"/>
        </w:rPr>
        <w:t>15.3</w:t>
      </w:r>
      <w:r>
        <w:rPr>
          <w:rFonts w:hint="eastAsia" w:ascii="宋体" w:hAnsi="宋体" w:cs="宋体"/>
          <w:color w:val="FF0000"/>
        </w:rPr>
        <w:t xml:space="preserve"> </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盖投标人公章（复印件无效），必须</w:t>
      </w:r>
      <w:r>
        <w:rPr>
          <w:rFonts w:hint="eastAsia" w:ascii="宋体" w:hAnsi="宋体" w:cs="宋体"/>
          <w:i/>
          <w:color w:val="FF0000"/>
          <w:u w:val="single"/>
        </w:rPr>
        <w:t>单独密封在信封中，在投标截止时间前与投标文件分别递交，否则视为无效投标。</w:t>
      </w:r>
    </w:p>
    <w:p>
      <w:pPr>
        <w:pStyle w:val="28"/>
        <w:rPr>
          <w:rFonts w:ascii="宋体" w:hAnsi="宋体" w:cs="宋体"/>
          <w:b/>
          <w:bCs/>
        </w:rPr>
      </w:pPr>
      <w:r>
        <w:rPr>
          <w:rFonts w:hint="eastAsia" w:ascii="宋体" w:hAnsi="宋体" w:cs="宋体"/>
          <w:b/>
          <w:bCs/>
        </w:rPr>
        <w:t>16.投标保证金</w:t>
      </w:r>
      <w:bookmarkEnd w:id="96"/>
      <w:bookmarkEnd w:id="97"/>
    </w:p>
    <w:p>
      <w:pPr>
        <w:pStyle w:val="28"/>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28"/>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28"/>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28"/>
        <w:rPr>
          <w:rFonts w:ascii="宋体" w:hAnsi="宋体" w:cs="宋体"/>
          <w:bCs/>
        </w:rPr>
      </w:pPr>
      <w:r>
        <w:rPr>
          <w:rFonts w:hint="eastAsia" w:ascii="宋体" w:hAnsi="宋体" w:cs="宋体"/>
          <w:bCs/>
        </w:rPr>
        <w:t>（1）投标人在投标有效期内撤回其投标；</w:t>
      </w:r>
    </w:p>
    <w:p>
      <w:pPr>
        <w:pStyle w:val="28"/>
        <w:rPr>
          <w:rFonts w:ascii="宋体" w:hAnsi="宋体" w:cs="宋体"/>
          <w:bCs/>
        </w:rPr>
      </w:pPr>
      <w:r>
        <w:rPr>
          <w:rFonts w:hint="eastAsia" w:ascii="宋体" w:hAnsi="宋体" w:cs="宋体"/>
          <w:bCs/>
        </w:rPr>
        <w:t>（2）投标人提供的有关资料、资格证明文件被确认是不真实的；</w:t>
      </w:r>
    </w:p>
    <w:p>
      <w:pPr>
        <w:pStyle w:val="28"/>
        <w:rPr>
          <w:rFonts w:ascii="宋体" w:hAnsi="宋体" w:cs="宋体"/>
        </w:rPr>
      </w:pPr>
      <w:r>
        <w:rPr>
          <w:rFonts w:hint="eastAsia" w:ascii="宋体" w:hAnsi="宋体" w:cs="宋体"/>
        </w:rPr>
        <w:t>（3）投标人之间被证实有串通（统一哄抬价格）、欺诈行为；</w:t>
      </w:r>
    </w:p>
    <w:p>
      <w:pPr>
        <w:pStyle w:val="28"/>
        <w:rPr>
          <w:rFonts w:ascii="宋体" w:hAnsi="宋体" w:cs="宋体"/>
        </w:rPr>
      </w:pPr>
      <w:r>
        <w:rPr>
          <w:rFonts w:hint="eastAsia" w:ascii="宋体" w:hAnsi="宋体" w:cs="宋体"/>
        </w:rPr>
        <w:t>（4）投标人被证明有妨碍其他人公平竞争、损害采购人或者其他投标人合法权益的；</w:t>
      </w:r>
    </w:p>
    <w:p>
      <w:pPr>
        <w:pStyle w:val="28"/>
        <w:rPr>
          <w:rFonts w:ascii="宋体" w:hAnsi="宋体" w:cs="宋体"/>
          <w:b/>
          <w:bCs/>
        </w:rPr>
      </w:pPr>
      <w:bookmarkStart w:id="98" w:name="_Hlt26954850"/>
      <w:bookmarkEnd w:id="98"/>
      <w:bookmarkStart w:id="99" w:name="_Hlt26954739"/>
      <w:bookmarkEnd w:id="99"/>
      <w:bookmarkStart w:id="100" w:name="_Hlt26954734"/>
      <w:bookmarkEnd w:id="100"/>
      <w:bookmarkStart w:id="101" w:name="_Hlt26670489"/>
      <w:bookmarkEnd w:id="101"/>
      <w:bookmarkStart w:id="102" w:name="_Hlt26954852"/>
      <w:bookmarkEnd w:id="102"/>
      <w:bookmarkStart w:id="103" w:name="_Toc49090512"/>
      <w:bookmarkStart w:id="104" w:name="_Toc14577361"/>
      <w:r>
        <w:rPr>
          <w:rFonts w:hint="eastAsia" w:ascii="宋体" w:hAnsi="宋体" w:cs="宋体"/>
          <w:b/>
          <w:bCs/>
        </w:rPr>
        <w:t>17.投标文件份数和签署</w:t>
      </w:r>
      <w:bookmarkEnd w:id="103"/>
      <w:bookmarkEnd w:id="104"/>
    </w:p>
    <w:p>
      <w:pPr>
        <w:pStyle w:val="28"/>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28"/>
        <w:rPr>
          <w:rFonts w:ascii="宋体" w:hAnsi="宋体" w:cs="宋体"/>
        </w:rPr>
      </w:pPr>
      <w:r>
        <w:rPr>
          <w:rFonts w:hint="eastAsia" w:ascii="宋体" w:hAnsi="宋体" w:cs="宋体"/>
        </w:rPr>
        <w:t>17.2投标文件的正本须经法定代表人或授权代表签署和加盖投标人公章。</w:t>
      </w:r>
    </w:p>
    <w:p>
      <w:pPr>
        <w:pStyle w:val="28"/>
        <w:rPr>
          <w:rFonts w:ascii="宋体" w:hAnsi="宋体" w:cs="宋体"/>
          <w:b/>
        </w:rPr>
      </w:pPr>
      <w:bookmarkStart w:id="105" w:name="_Toc517190885"/>
      <w:bookmarkStart w:id="106" w:name="_Toc20823296"/>
      <w:bookmarkStart w:id="107" w:name="_Toc513029224"/>
      <w:bookmarkStart w:id="108" w:name="_Toc120614217"/>
      <w:bookmarkStart w:id="109" w:name="_Toc16938540"/>
      <w:r>
        <w:rPr>
          <w:rFonts w:hint="eastAsia" w:ascii="宋体" w:hAnsi="宋体" w:cs="宋体"/>
          <w:b/>
        </w:rPr>
        <w:t>四、投标文件的递交</w:t>
      </w:r>
      <w:bookmarkEnd w:id="105"/>
      <w:bookmarkEnd w:id="106"/>
      <w:bookmarkEnd w:id="107"/>
      <w:bookmarkEnd w:id="108"/>
      <w:bookmarkEnd w:id="109"/>
    </w:p>
    <w:p>
      <w:pPr>
        <w:pStyle w:val="28"/>
        <w:rPr>
          <w:rFonts w:ascii="宋体" w:hAnsi="宋体" w:cs="宋体"/>
          <w:b/>
          <w:bCs/>
        </w:rPr>
      </w:pPr>
      <w:bookmarkStart w:id="110" w:name="_Toc462564084"/>
      <w:bookmarkStart w:id="111" w:name="_Toc16938541"/>
      <w:bookmarkStart w:id="112" w:name="_Toc513029225"/>
      <w:bookmarkStart w:id="113" w:name="_Toc20823297"/>
      <w:r>
        <w:rPr>
          <w:rFonts w:hint="eastAsia" w:ascii="宋体" w:hAnsi="宋体" w:cs="宋体"/>
          <w:b/>
          <w:bCs/>
        </w:rPr>
        <w:t>18.投标文件的密封和标记</w:t>
      </w:r>
      <w:bookmarkEnd w:id="110"/>
      <w:bookmarkEnd w:id="111"/>
      <w:bookmarkEnd w:id="112"/>
      <w:bookmarkEnd w:id="113"/>
    </w:p>
    <w:p>
      <w:pPr>
        <w:pStyle w:val="28"/>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28"/>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28"/>
        <w:rPr>
          <w:rFonts w:ascii="宋体" w:hAnsi="宋体" w:cs="宋体"/>
          <w:bCs/>
        </w:rPr>
      </w:pPr>
      <w:r>
        <w:rPr>
          <w:rFonts w:hint="eastAsia" w:ascii="宋体" w:hAnsi="宋体" w:cs="宋体"/>
          <w:bCs/>
        </w:rPr>
        <w:t>（1）注明投标人名称，如因标注不清而产生的后果由投标人自负。</w:t>
      </w:r>
    </w:p>
    <w:p>
      <w:pPr>
        <w:pStyle w:val="28"/>
        <w:rPr>
          <w:rFonts w:ascii="宋体" w:hAnsi="宋体" w:cs="宋体"/>
          <w:bCs/>
        </w:rPr>
      </w:pPr>
      <w:r>
        <w:rPr>
          <w:rFonts w:hint="eastAsia" w:ascii="宋体" w:hAnsi="宋体" w:cs="宋体"/>
          <w:bCs/>
        </w:rPr>
        <w:t>（2）注明投标项目名称、标书编号及包号。</w:t>
      </w:r>
    </w:p>
    <w:p>
      <w:pPr>
        <w:pStyle w:val="28"/>
        <w:ind w:firstLineChars="20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28"/>
        <w:rPr>
          <w:rFonts w:ascii="宋体" w:hAnsi="宋体" w:cs="宋体"/>
          <w:b/>
          <w:bCs/>
        </w:rPr>
      </w:pPr>
      <w:bookmarkStart w:id="114" w:name="_Toc16938542"/>
      <w:bookmarkStart w:id="115" w:name="_Toc513029226"/>
      <w:bookmarkStart w:id="116" w:name="_Toc20823298"/>
      <w:r>
        <w:rPr>
          <w:rFonts w:hint="eastAsia" w:ascii="宋体" w:hAnsi="宋体" w:cs="宋体"/>
          <w:b/>
          <w:bCs/>
        </w:rPr>
        <w:t>19.投标截止</w:t>
      </w:r>
      <w:bookmarkEnd w:id="114"/>
      <w:bookmarkEnd w:id="115"/>
      <w:bookmarkEnd w:id="116"/>
      <w:r>
        <w:rPr>
          <w:rFonts w:hint="eastAsia" w:ascii="宋体" w:hAnsi="宋体" w:cs="宋体"/>
          <w:b/>
          <w:bCs/>
        </w:rPr>
        <w:t>时间</w:t>
      </w:r>
    </w:p>
    <w:p>
      <w:pPr>
        <w:pStyle w:val="28"/>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28"/>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28"/>
        <w:rPr>
          <w:rFonts w:ascii="宋体" w:hAnsi="宋体" w:cs="宋体"/>
          <w:b/>
          <w:bCs/>
        </w:rPr>
      </w:pPr>
      <w:bookmarkStart w:id="117" w:name="_Toc20823299"/>
      <w:bookmarkStart w:id="118" w:name="_Toc16938543"/>
      <w:bookmarkStart w:id="119" w:name="_Toc513029227"/>
      <w:r>
        <w:rPr>
          <w:rFonts w:hint="eastAsia" w:ascii="宋体" w:hAnsi="宋体" w:cs="宋体"/>
          <w:b/>
          <w:bCs/>
        </w:rPr>
        <w:t>20.投标文件</w:t>
      </w:r>
      <w:bookmarkEnd w:id="117"/>
      <w:bookmarkEnd w:id="118"/>
      <w:bookmarkEnd w:id="119"/>
      <w:r>
        <w:rPr>
          <w:rFonts w:hint="eastAsia" w:ascii="宋体" w:hAnsi="宋体" w:cs="宋体"/>
          <w:b/>
          <w:bCs/>
        </w:rPr>
        <w:t>的递交</w:t>
      </w:r>
    </w:p>
    <w:p>
      <w:pPr>
        <w:pStyle w:val="28"/>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28"/>
        <w:rPr>
          <w:rFonts w:ascii="宋体" w:hAnsi="宋体" w:cs="宋体"/>
          <w:bCs/>
        </w:rPr>
      </w:pPr>
      <w:r>
        <w:rPr>
          <w:rFonts w:hint="eastAsia" w:ascii="宋体" w:hAnsi="宋体" w:cs="宋体"/>
          <w:bCs/>
        </w:rPr>
        <w:t>20.2未按照招标文件要求的格式编制的投标文件，后果由投标人承担。</w:t>
      </w:r>
    </w:p>
    <w:p>
      <w:pPr>
        <w:pStyle w:val="28"/>
        <w:rPr>
          <w:rFonts w:ascii="宋体" w:hAnsi="宋体" w:cs="宋体"/>
          <w:b/>
          <w:bCs/>
        </w:rPr>
      </w:pPr>
      <w:bookmarkStart w:id="120" w:name="_Toc513029228"/>
      <w:bookmarkStart w:id="121" w:name="_Toc16938544"/>
      <w:bookmarkStart w:id="122" w:name="_Toc20823300"/>
      <w:r>
        <w:rPr>
          <w:rFonts w:hint="eastAsia" w:ascii="宋体" w:hAnsi="宋体" w:cs="宋体"/>
          <w:b/>
          <w:bCs/>
        </w:rPr>
        <w:t>21.投标文件的修改和撤回</w:t>
      </w:r>
      <w:bookmarkEnd w:id="120"/>
      <w:bookmarkEnd w:id="121"/>
      <w:bookmarkEnd w:id="122"/>
    </w:p>
    <w:p>
      <w:pPr>
        <w:pStyle w:val="28"/>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28"/>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28"/>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28"/>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28"/>
        <w:rPr>
          <w:rFonts w:ascii="宋体" w:hAnsi="宋体" w:cs="宋体"/>
          <w:b/>
        </w:rPr>
      </w:pPr>
      <w:bookmarkStart w:id="123" w:name="_Toc120614218"/>
      <w:bookmarkStart w:id="124" w:name="_Toc20823301"/>
      <w:bookmarkStart w:id="125" w:name="_Toc16938545"/>
      <w:bookmarkStart w:id="126" w:name="_Toc517190886"/>
      <w:bookmarkStart w:id="127" w:name="_Toc513029229"/>
      <w:r>
        <w:rPr>
          <w:rFonts w:hint="eastAsia" w:ascii="宋体" w:hAnsi="宋体" w:cs="宋体"/>
          <w:b/>
        </w:rPr>
        <w:t>五、开标与评标</w:t>
      </w:r>
      <w:bookmarkEnd w:id="123"/>
      <w:bookmarkEnd w:id="124"/>
      <w:bookmarkEnd w:id="125"/>
      <w:bookmarkEnd w:id="126"/>
      <w:bookmarkEnd w:id="127"/>
    </w:p>
    <w:p>
      <w:pPr>
        <w:pStyle w:val="28"/>
        <w:rPr>
          <w:rFonts w:ascii="宋体" w:hAnsi="宋体" w:cs="宋体"/>
          <w:b/>
          <w:bCs/>
        </w:rPr>
      </w:pPr>
      <w:bookmarkStart w:id="128" w:name="_Toc20823302"/>
      <w:bookmarkStart w:id="129" w:name="_Toc16938546"/>
      <w:bookmarkStart w:id="130" w:name="_Toc513029230"/>
      <w:r>
        <w:rPr>
          <w:rFonts w:hint="eastAsia" w:ascii="宋体" w:hAnsi="宋体" w:cs="宋体"/>
          <w:b/>
          <w:bCs/>
        </w:rPr>
        <w:t>22.开标</w:t>
      </w:r>
      <w:bookmarkEnd w:id="128"/>
      <w:bookmarkEnd w:id="129"/>
      <w:bookmarkEnd w:id="130"/>
    </w:p>
    <w:p>
      <w:pPr>
        <w:pStyle w:val="28"/>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28"/>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28"/>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28"/>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28"/>
        <w:rPr>
          <w:rFonts w:ascii="宋体" w:hAnsi="宋体" w:cs="宋体"/>
        </w:rPr>
      </w:pPr>
      <w:r>
        <w:rPr>
          <w:rFonts w:hint="eastAsia" w:ascii="宋体" w:hAnsi="宋体" w:cs="宋体"/>
        </w:rPr>
        <w:t>22.5 投标人在报价时不允许采用选择性报价，否则将被视为无效投标。</w:t>
      </w:r>
    </w:p>
    <w:p>
      <w:pPr>
        <w:pStyle w:val="28"/>
        <w:rPr>
          <w:rFonts w:ascii="宋体" w:hAnsi="宋体" w:cs="宋体"/>
          <w:bCs/>
        </w:rPr>
      </w:pPr>
      <w:r>
        <w:rPr>
          <w:rFonts w:hint="eastAsia" w:ascii="宋体" w:hAnsi="宋体" w:cs="宋体"/>
          <w:bCs/>
        </w:rPr>
        <w:t>22.6 投标截止时间结束后参加投标的供应商不足三家的，不得开标。</w:t>
      </w:r>
    </w:p>
    <w:p>
      <w:pPr>
        <w:pStyle w:val="28"/>
        <w:rPr>
          <w:rFonts w:ascii="宋体" w:hAnsi="宋体" w:cs="宋体"/>
          <w:b/>
          <w:bCs/>
        </w:rPr>
      </w:pPr>
      <w:bookmarkStart w:id="131" w:name="_Toc20823303"/>
      <w:bookmarkStart w:id="132" w:name="_Toc513029231"/>
      <w:bookmarkStart w:id="133" w:name="_Toc16938547"/>
      <w:r>
        <w:rPr>
          <w:rFonts w:hint="eastAsia" w:ascii="宋体" w:hAnsi="宋体" w:cs="宋体"/>
          <w:b/>
          <w:bCs/>
        </w:rPr>
        <w:t>23.评标</w:t>
      </w:r>
    </w:p>
    <w:p>
      <w:pPr>
        <w:pStyle w:val="28"/>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28"/>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28"/>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1"/>
    <w:bookmarkEnd w:id="132"/>
    <w:bookmarkEnd w:id="133"/>
    <w:p>
      <w:pPr>
        <w:pStyle w:val="28"/>
        <w:rPr>
          <w:rFonts w:ascii="宋体" w:hAnsi="宋体" w:cs="宋体"/>
          <w:b/>
          <w:bCs/>
        </w:rPr>
      </w:pPr>
      <w:bookmarkStart w:id="134" w:name="_Toc513029232"/>
      <w:bookmarkStart w:id="135" w:name="_Toc16938548"/>
      <w:bookmarkStart w:id="136" w:name="_Toc20823304"/>
      <w:r>
        <w:rPr>
          <w:rFonts w:hint="eastAsia" w:ascii="宋体" w:hAnsi="宋体" w:cs="宋体"/>
          <w:b/>
          <w:bCs/>
        </w:rPr>
        <w:t>24.投标的澄清</w:t>
      </w:r>
      <w:bookmarkEnd w:id="134"/>
      <w:bookmarkEnd w:id="135"/>
      <w:bookmarkEnd w:id="136"/>
    </w:p>
    <w:p>
      <w:pPr>
        <w:pStyle w:val="28"/>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28"/>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8"/>
        <w:rPr>
          <w:rFonts w:ascii="宋体" w:hAnsi="宋体" w:cs="宋体"/>
        </w:rPr>
      </w:pPr>
      <w:r>
        <w:rPr>
          <w:rFonts w:hint="eastAsia" w:ascii="宋体" w:hAnsi="宋体" w:cs="宋体"/>
        </w:rPr>
        <w:t>24.3 接到评委会澄清要求的投标人如未按规定做出澄清，后果由投标人自行承担。</w:t>
      </w:r>
    </w:p>
    <w:p>
      <w:pPr>
        <w:pStyle w:val="28"/>
        <w:rPr>
          <w:rFonts w:ascii="宋体" w:hAnsi="宋体" w:cs="宋体"/>
          <w:b/>
          <w:bCs/>
        </w:rPr>
      </w:pPr>
      <w:bookmarkStart w:id="137" w:name="_Toc20823306"/>
      <w:bookmarkStart w:id="138" w:name="_Toc513029234"/>
      <w:bookmarkStart w:id="139" w:name="_Toc16938550"/>
      <w:r>
        <w:rPr>
          <w:rFonts w:hint="eastAsia" w:ascii="宋体" w:hAnsi="宋体" w:cs="宋体"/>
          <w:b/>
          <w:bCs/>
        </w:rPr>
        <w:t>25</w:t>
      </w:r>
      <w:bookmarkEnd w:id="137"/>
      <w:bookmarkEnd w:id="138"/>
      <w:bookmarkEnd w:id="139"/>
      <w:r>
        <w:rPr>
          <w:rFonts w:hint="eastAsia" w:ascii="宋体" w:hAnsi="宋体" w:cs="宋体"/>
          <w:b/>
          <w:bCs/>
        </w:rPr>
        <w:t>.无效投标条款和废标条款</w:t>
      </w:r>
    </w:p>
    <w:p>
      <w:pPr>
        <w:pStyle w:val="28"/>
        <w:rPr>
          <w:rFonts w:ascii="宋体" w:hAnsi="宋体" w:cs="宋体"/>
          <w:bCs/>
        </w:rPr>
      </w:pPr>
      <w:bookmarkStart w:id="140" w:name="_Toc513029235"/>
      <w:bookmarkStart w:id="141" w:name="_Toc16938551"/>
      <w:bookmarkStart w:id="142" w:name="_Toc20823307"/>
      <w:r>
        <w:rPr>
          <w:rFonts w:hint="eastAsia" w:ascii="宋体" w:hAnsi="宋体" w:cs="宋体"/>
          <w:bCs/>
        </w:rPr>
        <w:t>25.1无效投标条款</w:t>
      </w:r>
    </w:p>
    <w:p>
      <w:pPr>
        <w:pStyle w:val="28"/>
        <w:rPr>
          <w:rFonts w:ascii="宋体" w:hAnsi="宋体" w:cs="宋体"/>
          <w:bCs/>
        </w:rPr>
      </w:pPr>
      <w:r>
        <w:rPr>
          <w:rFonts w:hint="eastAsia" w:ascii="宋体" w:hAnsi="宋体" w:cs="宋体"/>
          <w:bCs/>
        </w:rPr>
        <w:t>（1）未按要求交纳投标保证金的。</w:t>
      </w:r>
    </w:p>
    <w:p>
      <w:pPr>
        <w:pStyle w:val="28"/>
        <w:rPr>
          <w:rFonts w:ascii="宋体" w:hAnsi="宋体" w:cs="宋体"/>
          <w:bCs/>
        </w:rPr>
      </w:pPr>
      <w:r>
        <w:rPr>
          <w:rFonts w:hint="eastAsia" w:ascii="宋体" w:hAnsi="宋体" w:cs="宋体"/>
          <w:bCs/>
        </w:rPr>
        <w:t>（2）未按照招标文件规定要求密封、签署、盖章的。</w:t>
      </w:r>
    </w:p>
    <w:p>
      <w:pPr>
        <w:pStyle w:val="28"/>
        <w:rPr>
          <w:rFonts w:ascii="宋体" w:hAnsi="宋体" w:cs="宋体"/>
          <w:bCs/>
        </w:rPr>
      </w:pPr>
      <w:r>
        <w:rPr>
          <w:rFonts w:hint="eastAsia" w:ascii="宋体" w:hAnsi="宋体" w:cs="宋体"/>
          <w:bCs/>
        </w:rPr>
        <w:t>（3）投标人在报价时采用选择性报价的。</w:t>
      </w:r>
    </w:p>
    <w:p>
      <w:pPr>
        <w:pStyle w:val="28"/>
        <w:rPr>
          <w:rFonts w:ascii="宋体" w:hAnsi="宋体" w:cs="宋体"/>
          <w:bCs/>
        </w:rPr>
      </w:pPr>
      <w:r>
        <w:rPr>
          <w:rFonts w:hint="eastAsia" w:ascii="宋体" w:hAnsi="宋体" w:cs="宋体"/>
          <w:bCs/>
        </w:rPr>
        <w:t>（4）投标人不具备招标文件中规定资格要求的。</w:t>
      </w:r>
    </w:p>
    <w:p>
      <w:pPr>
        <w:pStyle w:val="28"/>
        <w:rPr>
          <w:rFonts w:ascii="宋体" w:hAnsi="宋体" w:cs="宋体"/>
          <w:bCs/>
        </w:rPr>
      </w:pPr>
      <w:r>
        <w:rPr>
          <w:rFonts w:hint="eastAsia" w:ascii="宋体" w:hAnsi="宋体" w:cs="宋体"/>
          <w:bCs/>
        </w:rPr>
        <w:t>（5）投标人的报价超过了采购预算或最高限价的。</w:t>
      </w:r>
    </w:p>
    <w:p>
      <w:pPr>
        <w:pStyle w:val="28"/>
        <w:rPr>
          <w:rFonts w:ascii="宋体" w:hAnsi="宋体" w:cs="宋体"/>
          <w:bCs/>
          <w:i/>
          <w:u w:val="single"/>
        </w:rPr>
      </w:pPr>
      <w:r>
        <w:rPr>
          <w:rFonts w:hint="eastAsia" w:ascii="宋体" w:hAnsi="宋体" w:cs="宋体"/>
          <w:bCs/>
        </w:rPr>
        <w:t>（6）未通过符合性检查的。</w:t>
      </w:r>
    </w:p>
    <w:p>
      <w:pPr>
        <w:pStyle w:val="28"/>
        <w:rPr>
          <w:rFonts w:ascii="宋体" w:hAnsi="宋体" w:cs="宋体"/>
          <w:bCs/>
          <w:i/>
          <w:u w:val="single"/>
        </w:rPr>
      </w:pPr>
      <w:r>
        <w:rPr>
          <w:rFonts w:hint="eastAsia" w:ascii="宋体" w:hAnsi="宋体" w:cs="宋体"/>
          <w:bCs/>
        </w:rPr>
        <w:t>（7）不符合招标文件中规定的其他实质性要求和条件的。</w:t>
      </w:r>
    </w:p>
    <w:p>
      <w:pPr>
        <w:pStyle w:val="28"/>
        <w:rPr>
          <w:rFonts w:ascii="宋体" w:hAnsi="宋体" w:cs="宋体"/>
          <w:bCs/>
        </w:rPr>
      </w:pPr>
      <w:r>
        <w:rPr>
          <w:rFonts w:hint="eastAsia" w:ascii="宋体" w:hAnsi="宋体" w:cs="宋体"/>
          <w:bCs/>
        </w:rPr>
        <w:t>（8）投标人被 “信用中国”网站（www.creditchina.gov.cn）列入失信被执行人或重大税收违法案件当事人名单或政府采购严重失信行为记录名单。</w:t>
      </w:r>
    </w:p>
    <w:p>
      <w:pPr>
        <w:pStyle w:val="28"/>
        <w:rPr>
          <w:rFonts w:ascii="宋体" w:hAnsi="宋体" w:cs="宋体"/>
          <w:bCs/>
        </w:rPr>
      </w:pPr>
      <w:r>
        <w:rPr>
          <w:rFonts w:hint="eastAsia" w:ascii="宋体" w:hAnsi="宋体" w:cs="宋体"/>
          <w:bCs/>
        </w:rPr>
        <w:t>（9）投标文件含有采购人不能接受的附加条件的。</w:t>
      </w:r>
    </w:p>
    <w:p>
      <w:pPr>
        <w:pStyle w:val="28"/>
        <w:rPr>
          <w:rFonts w:ascii="宋体" w:hAnsi="宋体" w:cs="宋体"/>
          <w:bCs/>
        </w:rPr>
      </w:pPr>
      <w:r>
        <w:rPr>
          <w:rFonts w:hint="eastAsia" w:ascii="宋体" w:hAnsi="宋体" w:cs="宋体"/>
          <w:bCs/>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rPr>
          <w:rFonts w:ascii="宋体" w:hAnsi="宋体" w:cs="宋体"/>
          <w:bCs/>
        </w:rPr>
      </w:pPr>
      <w:r>
        <w:rPr>
          <w:rFonts w:hint="eastAsia" w:ascii="宋体" w:hAnsi="宋体" w:cs="宋体"/>
          <w:bCs/>
        </w:rPr>
        <w:t>（11）其他法律、法规及本招标文件规定的属无效投标的情形。</w:t>
      </w:r>
    </w:p>
    <w:p>
      <w:pPr>
        <w:pStyle w:val="28"/>
        <w:rPr>
          <w:rFonts w:ascii="宋体" w:hAnsi="宋体" w:cs="宋体"/>
          <w:bCs/>
        </w:rPr>
      </w:pPr>
      <w:r>
        <w:rPr>
          <w:rFonts w:hint="eastAsia" w:ascii="宋体" w:hAnsi="宋体" w:cs="宋体"/>
          <w:bCs/>
        </w:rPr>
        <w:t>25.2废标条款：</w:t>
      </w:r>
    </w:p>
    <w:p>
      <w:pPr>
        <w:pStyle w:val="28"/>
        <w:rPr>
          <w:rFonts w:ascii="宋体" w:hAnsi="宋体" w:cs="宋体"/>
          <w:bCs/>
        </w:rPr>
      </w:pPr>
      <w:r>
        <w:rPr>
          <w:rFonts w:hint="eastAsia" w:ascii="宋体" w:hAnsi="宋体" w:cs="宋体"/>
          <w:bCs/>
        </w:rPr>
        <w:t>（1）符合专业条件的供应商或者对招标文件作实质响应的供应商不足三家的。</w:t>
      </w:r>
    </w:p>
    <w:p>
      <w:pPr>
        <w:pStyle w:val="28"/>
        <w:rPr>
          <w:rFonts w:ascii="宋体" w:hAnsi="宋体" w:cs="宋体"/>
          <w:bCs/>
        </w:rPr>
      </w:pPr>
      <w:r>
        <w:rPr>
          <w:rFonts w:hint="eastAsia" w:ascii="宋体" w:hAnsi="宋体" w:cs="宋体"/>
          <w:bCs/>
        </w:rPr>
        <w:t>（2）出现影响采购公正的违法、违规行为的。</w:t>
      </w:r>
    </w:p>
    <w:p>
      <w:pPr>
        <w:pStyle w:val="28"/>
        <w:rPr>
          <w:rFonts w:ascii="宋体" w:hAnsi="宋体" w:cs="宋体"/>
          <w:bCs/>
        </w:rPr>
      </w:pPr>
      <w:r>
        <w:rPr>
          <w:rFonts w:hint="eastAsia" w:ascii="宋体" w:hAnsi="宋体" w:cs="宋体"/>
          <w:bCs/>
        </w:rPr>
        <w:t>（3）因重大变故，采购任务取消的。</w:t>
      </w:r>
    </w:p>
    <w:p>
      <w:pPr>
        <w:pStyle w:val="28"/>
        <w:rPr>
          <w:rFonts w:ascii="宋体" w:hAnsi="宋体" w:cs="宋体"/>
          <w:bCs/>
        </w:rPr>
      </w:pPr>
      <w:r>
        <w:rPr>
          <w:rFonts w:hint="eastAsia" w:ascii="宋体" w:hAnsi="宋体" w:cs="宋体"/>
          <w:bCs/>
        </w:rPr>
        <w:t>（4）评标委员会认定招标文件存在歧义、重大缺陷导致评审工作无法进行的。</w:t>
      </w:r>
    </w:p>
    <w:p>
      <w:pPr>
        <w:pStyle w:val="28"/>
        <w:rPr>
          <w:rFonts w:ascii="宋体" w:hAnsi="宋体" w:cs="宋体"/>
          <w:b/>
        </w:rPr>
      </w:pPr>
      <w:bookmarkStart w:id="143" w:name="_Toc120614219"/>
      <w:bookmarkStart w:id="144" w:name="_Toc517190887"/>
      <w:r>
        <w:rPr>
          <w:rFonts w:hint="eastAsia" w:ascii="宋体" w:hAnsi="宋体" w:cs="宋体"/>
          <w:b/>
        </w:rPr>
        <w:t>六、</w:t>
      </w:r>
      <w:bookmarkEnd w:id="140"/>
      <w:bookmarkEnd w:id="141"/>
      <w:bookmarkEnd w:id="142"/>
      <w:r>
        <w:rPr>
          <w:rFonts w:hint="eastAsia" w:ascii="宋体" w:hAnsi="宋体" w:cs="宋体"/>
          <w:b/>
        </w:rPr>
        <w:t>定标</w:t>
      </w:r>
      <w:bookmarkEnd w:id="143"/>
      <w:bookmarkEnd w:id="144"/>
    </w:p>
    <w:p>
      <w:pPr>
        <w:pStyle w:val="28"/>
        <w:rPr>
          <w:rFonts w:ascii="宋体" w:hAnsi="宋体" w:cs="宋体"/>
          <w:b/>
        </w:rPr>
      </w:pPr>
      <w:bookmarkStart w:id="145" w:name="_Toc513029238"/>
      <w:bookmarkStart w:id="146" w:name="_Toc16938554"/>
      <w:bookmarkStart w:id="147" w:name="_Toc20823310"/>
      <w:r>
        <w:rPr>
          <w:rFonts w:hint="eastAsia" w:ascii="宋体" w:hAnsi="宋体" w:cs="宋体"/>
          <w:b/>
        </w:rPr>
        <w:t>26</w:t>
      </w:r>
      <w:bookmarkEnd w:id="145"/>
      <w:r>
        <w:rPr>
          <w:rFonts w:hint="eastAsia" w:ascii="宋体" w:hAnsi="宋体" w:cs="宋体"/>
          <w:b/>
        </w:rPr>
        <w:t>.确定</w:t>
      </w:r>
      <w:bookmarkEnd w:id="146"/>
      <w:bookmarkEnd w:id="147"/>
      <w:r>
        <w:rPr>
          <w:rFonts w:hint="eastAsia" w:ascii="宋体" w:hAnsi="宋体" w:cs="宋体"/>
          <w:b/>
        </w:rPr>
        <w:t>中标单位</w:t>
      </w:r>
    </w:p>
    <w:p>
      <w:pPr>
        <w:pStyle w:val="28"/>
        <w:rPr>
          <w:rFonts w:ascii="宋体" w:hAnsi="宋体" w:cs="宋体"/>
          <w:bCs/>
        </w:rPr>
      </w:pPr>
      <w:r>
        <w:rPr>
          <w:rFonts w:hint="eastAsia" w:ascii="宋体" w:hAnsi="宋体" w:cs="宋体"/>
          <w:bCs/>
        </w:rPr>
        <w:t>26.1评委会根据本招标文件规定评分办法与评分标准确定中标人；</w:t>
      </w:r>
    </w:p>
    <w:p>
      <w:pPr>
        <w:pStyle w:val="28"/>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28"/>
        <w:rPr>
          <w:rFonts w:ascii="宋体" w:hAnsi="宋体" w:cs="宋体"/>
        </w:rPr>
      </w:pPr>
      <w:r>
        <w:rPr>
          <w:rFonts w:hint="eastAsia" w:ascii="宋体" w:hAnsi="宋体" w:cs="宋体"/>
        </w:rPr>
        <w:t>2</w:t>
      </w:r>
      <w:bookmarkStart w:id="148" w:name="OLE_LINK8"/>
      <w:bookmarkStart w:id="149" w:name="OLE_LINK6"/>
      <w:bookmarkStart w:id="150" w:name="OLE_LINK3"/>
      <w:bookmarkStart w:id="151" w:name="OLE_LINK4"/>
      <w:bookmarkStart w:id="152" w:name="OLE_LINK7"/>
      <w:bookmarkStart w:id="153" w:name="OLE_LINK5"/>
      <w:r>
        <w:rPr>
          <w:rFonts w:hint="eastAsia" w:ascii="宋体" w:hAnsi="宋体" w:cs="宋体"/>
        </w:rPr>
        <w:t>6.3</w:t>
      </w:r>
      <w:bookmarkEnd w:id="148"/>
      <w:bookmarkEnd w:id="149"/>
      <w:bookmarkEnd w:id="150"/>
      <w:bookmarkEnd w:id="151"/>
      <w:bookmarkEnd w:id="152"/>
      <w:bookmarkEnd w:id="153"/>
      <w:r>
        <w:rPr>
          <w:rFonts w:hint="eastAsia" w:ascii="宋体" w:hAnsi="宋体" w:cs="宋体"/>
        </w:rPr>
        <w:t xml:space="preserve"> 若有充分证据证明，中标人出现下列情况之一的，一经查实，将被取消中标资格：</w:t>
      </w:r>
    </w:p>
    <w:p>
      <w:pPr>
        <w:pStyle w:val="28"/>
        <w:rPr>
          <w:rFonts w:ascii="宋体" w:hAnsi="宋体" w:cs="宋体"/>
        </w:rPr>
      </w:pPr>
      <w:r>
        <w:rPr>
          <w:rFonts w:hint="eastAsia" w:ascii="宋体" w:hAnsi="宋体" w:cs="宋体"/>
        </w:rPr>
        <w:t>（1）提供虚假材料谋取中标的；</w:t>
      </w:r>
    </w:p>
    <w:p>
      <w:pPr>
        <w:pStyle w:val="28"/>
        <w:rPr>
          <w:rFonts w:ascii="宋体" w:hAnsi="宋体" w:cs="宋体"/>
        </w:rPr>
      </w:pPr>
      <w:r>
        <w:rPr>
          <w:rFonts w:hint="eastAsia" w:ascii="宋体" w:hAnsi="宋体" w:cs="宋体"/>
        </w:rPr>
        <w:t>（2）向采购人、评审专家行贿或者提供其他不正当利益的；</w:t>
      </w:r>
    </w:p>
    <w:p>
      <w:pPr>
        <w:pStyle w:val="28"/>
        <w:rPr>
          <w:rFonts w:ascii="宋体" w:hAnsi="宋体" w:cs="宋体"/>
        </w:rPr>
      </w:pPr>
      <w:r>
        <w:rPr>
          <w:rFonts w:hint="eastAsia" w:ascii="宋体" w:hAnsi="宋体" w:cs="宋体"/>
        </w:rPr>
        <w:t>（3）恶意竞争，投标总报价明显低于其自身合理成本且又无法提供证明的；</w:t>
      </w:r>
    </w:p>
    <w:p>
      <w:pPr>
        <w:pStyle w:val="28"/>
        <w:rPr>
          <w:rFonts w:ascii="宋体" w:hAnsi="宋体" w:cs="宋体"/>
        </w:rPr>
      </w:pPr>
      <w:r>
        <w:rPr>
          <w:rFonts w:hint="eastAsia" w:ascii="宋体" w:hAnsi="宋体" w:cs="宋体"/>
        </w:rPr>
        <w:t>（4）属于本文件规定的无效条件，但在评标过程中又未被评委会发现的；</w:t>
      </w:r>
    </w:p>
    <w:p>
      <w:pPr>
        <w:pStyle w:val="28"/>
        <w:rPr>
          <w:rFonts w:ascii="宋体" w:hAnsi="宋体" w:cs="宋体"/>
        </w:rPr>
      </w:pPr>
      <w:r>
        <w:rPr>
          <w:rFonts w:hint="eastAsia" w:ascii="宋体" w:hAnsi="宋体" w:cs="宋体"/>
        </w:rPr>
        <w:t>（5）与采购人或者其他供应商恶意串通的；</w:t>
      </w:r>
    </w:p>
    <w:p>
      <w:pPr>
        <w:pStyle w:val="28"/>
        <w:rPr>
          <w:rFonts w:ascii="宋体" w:hAnsi="宋体" w:cs="宋体"/>
        </w:rPr>
      </w:pPr>
      <w:r>
        <w:rPr>
          <w:rFonts w:hint="eastAsia" w:ascii="宋体" w:hAnsi="宋体" w:cs="宋体"/>
        </w:rPr>
        <w:t>（6）采取不正当手段诋毁、排挤其他供应商的；</w:t>
      </w:r>
    </w:p>
    <w:p>
      <w:pPr>
        <w:pStyle w:val="28"/>
        <w:rPr>
          <w:rFonts w:ascii="宋体" w:hAnsi="宋体" w:cs="宋体"/>
        </w:rPr>
      </w:pPr>
      <w:r>
        <w:rPr>
          <w:rFonts w:hint="eastAsia" w:ascii="宋体" w:hAnsi="宋体" w:cs="宋体"/>
        </w:rPr>
        <w:t>（7）不符合法律、法规的规定的。</w:t>
      </w:r>
      <w:bookmarkStart w:id="154" w:name="_Toc200451960"/>
    </w:p>
    <w:p>
      <w:pPr>
        <w:pStyle w:val="28"/>
        <w:rPr>
          <w:rFonts w:ascii="宋体" w:hAnsi="宋体" w:cs="宋体"/>
        </w:rPr>
      </w:pPr>
      <w:r>
        <w:rPr>
          <w:rFonts w:hint="eastAsia" w:ascii="宋体" w:hAnsi="宋体" w:cs="宋体"/>
        </w:rPr>
        <w:t>26.4 有下列情形之一的，视为投标人串通投标，投标无效：</w:t>
      </w:r>
    </w:p>
    <w:p>
      <w:pPr>
        <w:pStyle w:val="28"/>
        <w:rPr>
          <w:rFonts w:ascii="宋体" w:hAnsi="宋体" w:cs="宋体"/>
        </w:rPr>
      </w:pPr>
      <w:r>
        <w:rPr>
          <w:rFonts w:hint="eastAsia" w:ascii="宋体" w:hAnsi="宋体" w:cs="宋体"/>
        </w:rPr>
        <w:t>（1）不同投标人的投标文件由同一单位或者个人编制；</w:t>
      </w:r>
    </w:p>
    <w:p>
      <w:pPr>
        <w:pStyle w:val="28"/>
        <w:rPr>
          <w:rFonts w:ascii="宋体" w:hAnsi="宋体" w:cs="宋体"/>
        </w:rPr>
      </w:pPr>
      <w:r>
        <w:rPr>
          <w:rFonts w:hint="eastAsia" w:ascii="宋体" w:hAnsi="宋体" w:cs="宋体"/>
        </w:rPr>
        <w:t>（2）不同投标人委托同一单位或者个人办理投标事宜；</w:t>
      </w:r>
    </w:p>
    <w:p>
      <w:pPr>
        <w:pStyle w:val="28"/>
        <w:rPr>
          <w:rFonts w:ascii="宋体" w:hAnsi="宋体" w:cs="宋体"/>
        </w:rPr>
      </w:pPr>
      <w:r>
        <w:rPr>
          <w:rFonts w:hint="eastAsia" w:ascii="宋体" w:hAnsi="宋体" w:cs="宋体"/>
        </w:rPr>
        <w:t>（3） 不同投标人的投标文件载明的项目管理成员或者联系人员为同一人；</w:t>
      </w:r>
    </w:p>
    <w:p>
      <w:pPr>
        <w:pStyle w:val="28"/>
        <w:rPr>
          <w:rFonts w:ascii="宋体" w:hAnsi="宋体" w:cs="宋体"/>
        </w:rPr>
      </w:pPr>
      <w:r>
        <w:rPr>
          <w:rFonts w:hint="eastAsia" w:ascii="宋体" w:hAnsi="宋体" w:cs="宋体"/>
        </w:rPr>
        <w:t>（4）不同投标人的投标文件异常一致或者投标报价呈规律性差异；</w:t>
      </w:r>
    </w:p>
    <w:p>
      <w:pPr>
        <w:pStyle w:val="28"/>
        <w:rPr>
          <w:rFonts w:ascii="宋体" w:hAnsi="宋体" w:cs="宋体"/>
        </w:rPr>
      </w:pPr>
      <w:r>
        <w:rPr>
          <w:rFonts w:hint="eastAsia" w:ascii="宋体" w:hAnsi="宋体" w:cs="宋体"/>
        </w:rPr>
        <w:t>（5）不同投标人的投标文件相互混装；</w:t>
      </w:r>
    </w:p>
    <w:p>
      <w:pPr>
        <w:pStyle w:val="28"/>
        <w:rPr>
          <w:rFonts w:ascii="宋体" w:hAnsi="宋体" w:cs="宋体"/>
        </w:rPr>
      </w:pPr>
      <w:r>
        <w:rPr>
          <w:rFonts w:hint="eastAsia" w:ascii="宋体" w:hAnsi="宋体" w:cs="宋体"/>
        </w:rPr>
        <w:t>（6）不同投标人的投标保证金从同一单位或者个人的账户转出。</w:t>
      </w:r>
    </w:p>
    <w:p>
      <w:pPr>
        <w:pStyle w:val="28"/>
        <w:rPr>
          <w:rFonts w:ascii="宋体" w:hAnsi="宋体" w:cs="宋体"/>
          <w:b/>
        </w:rPr>
      </w:pPr>
      <w:r>
        <w:rPr>
          <w:rFonts w:hint="eastAsia" w:ascii="宋体" w:hAnsi="宋体" w:cs="宋体"/>
          <w:b/>
        </w:rPr>
        <w:t>27.质疑处理</w:t>
      </w:r>
      <w:bookmarkEnd w:id="154"/>
    </w:p>
    <w:p>
      <w:pPr>
        <w:pStyle w:val="28"/>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28"/>
        <w:rPr>
          <w:rFonts w:ascii="宋体" w:hAnsi="宋体" w:cs="宋体"/>
          <w:b/>
        </w:rPr>
      </w:pPr>
      <w:r>
        <w:rPr>
          <w:rFonts w:hint="eastAsia" w:ascii="宋体" w:hAnsi="宋体" w:cs="宋体"/>
          <w:b/>
        </w:rPr>
        <w:t>28.中标通知书</w:t>
      </w:r>
    </w:p>
    <w:p>
      <w:pPr>
        <w:pStyle w:val="28"/>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28"/>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28"/>
        <w:rPr>
          <w:rFonts w:ascii="宋体" w:hAnsi="宋体" w:cs="宋体"/>
          <w:b/>
        </w:rPr>
      </w:pPr>
      <w:bookmarkStart w:id="155" w:name="_Toc120614220"/>
      <w:bookmarkStart w:id="156" w:name="_Toc517190888"/>
      <w:bookmarkStart w:id="157" w:name="_Toc16938552"/>
      <w:bookmarkStart w:id="158" w:name="_Toc513029236"/>
      <w:bookmarkStart w:id="159" w:name="_Toc20823308"/>
      <w:r>
        <w:rPr>
          <w:rFonts w:hint="eastAsia" w:ascii="宋体" w:hAnsi="宋体" w:cs="宋体"/>
          <w:b/>
        </w:rPr>
        <w:t>七、授予合同</w:t>
      </w:r>
      <w:bookmarkEnd w:id="155"/>
      <w:bookmarkEnd w:id="156"/>
    </w:p>
    <w:bookmarkEnd w:id="157"/>
    <w:bookmarkEnd w:id="158"/>
    <w:bookmarkEnd w:id="159"/>
    <w:p>
      <w:pPr>
        <w:pStyle w:val="28"/>
        <w:rPr>
          <w:rFonts w:ascii="宋体" w:hAnsi="宋体" w:cs="宋体"/>
          <w:b/>
        </w:rPr>
      </w:pPr>
      <w:bookmarkStart w:id="160" w:name="_Toc20823309"/>
      <w:bookmarkStart w:id="161" w:name="_Toc16938553"/>
      <w:bookmarkStart w:id="162" w:name="_Toc513029237"/>
      <w:r>
        <w:rPr>
          <w:rFonts w:hint="eastAsia" w:ascii="宋体" w:hAnsi="宋体" w:cs="宋体"/>
          <w:b/>
        </w:rPr>
        <w:t>29. 签订合同</w:t>
      </w:r>
    </w:p>
    <w:p>
      <w:pPr>
        <w:pStyle w:val="28"/>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28"/>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28"/>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8"/>
        <w:rPr>
          <w:rFonts w:ascii="宋体" w:hAnsi="宋体" w:cs="宋体"/>
          <w:b/>
        </w:rPr>
      </w:pPr>
      <w:bookmarkStart w:id="163" w:name="_Toc517190889"/>
      <w:r>
        <w:rPr>
          <w:rFonts w:hint="eastAsia" w:ascii="宋体" w:hAnsi="宋体" w:cs="宋体"/>
          <w:b/>
        </w:rPr>
        <w:t>八、其他</w:t>
      </w:r>
      <w:bookmarkEnd w:id="163"/>
    </w:p>
    <w:p>
      <w:pPr>
        <w:pStyle w:val="28"/>
        <w:rPr>
          <w:rFonts w:ascii="宋体" w:hAnsi="宋体" w:cs="宋体"/>
          <w:b/>
        </w:rPr>
      </w:pPr>
      <w:r>
        <w:rPr>
          <w:rFonts w:hint="eastAsia" w:ascii="宋体" w:hAnsi="宋体" w:cs="宋体"/>
          <w:b/>
        </w:rPr>
        <w:t>30.样品</w:t>
      </w:r>
    </w:p>
    <w:p>
      <w:pPr>
        <w:pStyle w:val="28"/>
        <w:rPr>
          <w:rFonts w:ascii="宋体" w:hAnsi="宋体" w:cs="宋体"/>
          <w:bCs/>
        </w:rPr>
      </w:pPr>
      <w:r>
        <w:rPr>
          <w:rFonts w:hint="eastAsia" w:ascii="宋体" w:hAnsi="宋体" w:cs="宋体"/>
          <w:bCs/>
        </w:rPr>
        <w:t>项目要求提供样品的，中标人的样品由采购人负责保管、封存，并作为履约验收的参考。未中标人的样品将及时退还。</w:t>
      </w:r>
      <w:bookmarkStart w:id="164" w:name="_Toc401414769"/>
    </w:p>
    <w:p>
      <w:pPr>
        <w:adjustRightInd/>
        <w:snapToGrid/>
        <w:spacing w:after="0"/>
        <w:rPr>
          <w:rFonts w:ascii="宋体" w:hAnsi="宋体" w:eastAsia="宋体" w:cs="宋体"/>
          <w:bCs/>
          <w:sz w:val="24"/>
          <w:szCs w:val="24"/>
        </w:rPr>
      </w:pPr>
      <w:r>
        <w:rPr>
          <w:rFonts w:ascii="宋体" w:hAnsi="宋体" w:cs="宋体"/>
          <w:bCs/>
        </w:rPr>
        <w:br w:type="page"/>
      </w:r>
    </w:p>
    <w:p>
      <w:pPr>
        <w:pStyle w:val="3"/>
        <w:keepNext w:val="0"/>
        <w:pageBreakBefore/>
        <w:rPr>
          <w:rFonts w:asciiTheme="minorEastAsia" w:hAnsiTheme="minorEastAsia" w:eastAsiaTheme="minorEastAsia"/>
          <w:b/>
          <w:bCs/>
          <w:sz w:val="24"/>
          <w:szCs w:val="24"/>
        </w:rPr>
      </w:pPr>
      <w:bookmarkStart w:id="165" w:name="_Toc149807452"/>
      <w:r>
        <w:rPr>
          <w:rFonts w:hint="eastAsia" w:asciiTheme="minorEastAsia" w:hAnsiTheme="minorEastAsia" w:eastAsiaTheme="minorEastAsia"/>
          <w:b/>
          <w:sz w:val="44"/>
          <w:szCs w:val="44"/>
        </w:rPr>
        <w:t>第三章   项目需求</w:t>
      </w:r>
      <w:bookmarkEnd w:id="165"/>
    </w:p>
    <w:p>
      <w:pPr>
        <w:pStyle w:val="28"/>
        <w:rPr>
          <w:rFonts w:ascii="宋体" w:hAnsi="宋体" w:cs="宋体"/>
          <w:bCs/>
        </w:rPr>
      </w:pPr>
    </w:p>
    <w:p>
      <w:pPr>
        <w:numPr>
          <w:ilvl w:val="0"/>
          <w:numId w:val="5"/>
        </w:numPr>
        <w:spacing w:line="300" w:lineRule="exact"/>
        <w:rPr>
          <w:rFonts w:ascii="宋体" w:hAnsi="宋体" w:eastAsia="宋体" w:cs="宋体"/>
          <w:b/>
          <w:bCs/>
          <w:sz w:val="24"/>
          <w:szCs w:val="24"/>
        </w:rPr>
      </w:pPr>
      <w:r>
        <w:rPr>
          <w:rFonts w:hint="eastAsia" w:ascii="宋体" w:hAnsi="宋体" w:eastAsia="宋体" w:cs="宋体"/>
          <w:b/>
          <w:bCs/>
          <w:sz w:val="24"/>
          <w:szCs w:val="24"/>
        </w:rPr>
        <w:t>技术参数</w:t>
      </w:r>
    </w:p>
    <w:p>
      <w:pPr>
        <w:spacing w:line="300" w:lineRule="exact"/>
        <w:rPr>
          <w:rFonts w:ascii="宋体" w:hAnsi="宋体" w:eastAsia="宋体"/>
          <w:bCs/>
          <w:sz w:val="24"/>
          <w:szCs w:val="24"/>
        </w:rPr>
      </w:pPr>
      <w:r>
        <w:rPr>
          <w:rFonts w:hint="eastAsia" w:ascii="宋体" w:hAnsi="宋体" w:eastAsia="宋体"/>
          <w:bCs/>
          <w:sz w:val="24"/>
          <w:szCs w:val="24"/>
        </w:rPr>
        <w:t>▲1.孔板规格：96孔板，4.5mm 孔距；</w:t>
      </w:r>
    </w:p>
    <w:p>
      <w:pPr>
        <w:spacing w:line="300" w:lineRule="exact"/>
        <w:rPr>
          <w:rFonts w:ascii="宋体" w:hAnsi="宋体" w:eastAsia="宋体"/>
          <w:bCs/>
          <w:sz w:val="24"/>
          <w:szCs w:val="24"/>
        </w:rPr>
      </w:pPr>
      <w:r>
        <w:rPr>
          <w:rFonts w:hint="eastAsia" w:ascii="宋体" w:hAnsi="宋体" w:eastAsia="宋体"/>
          <w:bCs/>
          <w:sz w:val="24"/>
          <w:szCs w:val="24"/>
        </w:rPr>
        <w:t>▲2.反应体系：1-20 μl；</w:t>
      </w:r>
    </w:p>
    <w:p>
      <w:pPr>
        <w:spacing w:line="300" w:lineRule="exact"/>
        <w:rPr>
          <w:rFonts w:ascii="宋体" w:hAnsi="宋体" w:eastAsia="宋体"/>
          <w:bCs/>
          <w:sz w:val="24"/>
          <w:szCs w:val="24"/>
        </w:rPr>
      </w:pPr>
      <w:r>
        <w:rPr>
          <w:rFonts w:hint="eastAsia" w:ascii="宋体" w:hAnsi="宋体" w:eastAsia="宋体"/>
          <w:bCs/>
          <w:sz w:val="24"/>
          <w:szCs w:val="24"/>
        </w:rPr>
        <w:t>▲3.机身重量：5kg；</w:t>
      </w:r>
    </w:p>
    <w:p>
      <w:pPr>
        <w:spacing w:line="300" w:lineRule="exact"/>
        <w:rPr>
          <w:rFonts w:ascii="宋体" w:hAnsi="宋体" w:eastAsia="宋体"/>
          <w:bCs/>
          <w:sz w:val="24"/>
          <w:szCs w:val="24"/>
        </w:rPr>
      </w:pPr>
      <w:r>
        <w:rPr>
          <w:rFonts w:hint="eastAsia" w:ascii="宋体" w:hAnsi="宋体" w:eastAsia="宋体"/>
          <w:bCs/>
          <w:sz w:val="24"/>
          <w:szCs w:val="24"/>
        </w:rPr>
        <w:t>4.激发光源：蓝 / 绿 LED 共同激发，475nm+520nm；</w:t>
      </w:r>
    </w:p>
    <w:p>
      <w:pPr>
        <w:spacing w:line="300" w:lineRule="exact"/>
        <w:rPr>
          <w:rFonts w:ascii="宋体" w:hAnsi="宋体" w:eastAsia="宋体"/>
          <w:bCs/>
          <w:sz w:val="24"/>
          <w:szCs w:val="24"/>
        </w:rPr>
      </w:pPr>
      <w:r>
        <w:rPr>
          <w:rFonts w:hint="eastAsia" w:ascii="宋体" w:hAnsi="宋体" w:eastAsia="宋体"/>
          <w:bCs/>
          <w:sz w:val="24"/>
          <w:szCs w:val="24"/>
        </w:rPr>
        <w:t>▲5.检测系统：CMOS 检测器，收集 540nm 长波通；</w:t>
      </w:r>
    </w:p>
    <w:p>
      <w:pPr>
        <w:spacing w:line="300" w:lineRule="exact"/>
        <w:rPr>
          <w:rFonts w:ascii="宋体" w:hAnsi="宋体" w:eastAsia="宋体"/>
          <w:bCs/>
          <w:sz w:val="24"/>
          <w:szCs w:val="24"/>
        </w:rPr>
      </w:pPr>
      <w:r>
        <w:rPr>
          <w:rFonts w:hint="eastAsia" w:ascii="宋体" w:hAnsi="宋体" w:eastAsia="宋体"/>
          <w:bCs/>
          <w:sz w:val="24"/>
          <w:szCs w:val="24"/>
        </w:rPr>
        <w:t>6.荧光染料：SYBR Green/FAM/VIC/HEX 等；</w:t>
      </w:r>
    </w:p>
    <w:p>
      <w:pPr>
        <w:spacing w:line="300" w:lineRule="exact"/>
        <w:rPr>
          <w:rFonts w:ascii="宋体" w:hAnsi="宋体" w:eastAsia="宋体"/>
          <w:bCs/>
          <w:sz w:val="24"/>
          <w:szCs w:val="24"/>
        </w:rPr>
      </w:pPr>
      <w:r>
        <w:rPr>
          <w:rFonts w:hint="eastAsia" w:ascii="宋体" w:hAnsi="宋体" w:eastAsia="宋体"/>
          <w:bCs/>
          <w:sz w:val="24"/>
          <w:szCs w:val="24"/>
        </w:rPr>
        <w:t>7.检测方式：实时动态检测，动态显示；</w:t>
      </w:r>
    </w:p>
    <w:p>
      <w:pPr>
        <w:spacing w:line="300" w:lineRule="exact"/>
        <w:rPr>
          <w:rFonts w:ascii="宋体" w:hAnsi="宋体" w:eastAsia="宋体"/>
          <w:bCs/>
          <w:sz w:val="24"/>
          <w:szCs w:val="24"/>
        </w:rPr>
      </w:pPr>
      <w:r>
        <w:rPr>
          <w:rFonts w:hint="eastAsia" w:ascii="宋体" w:hAnsi="宋体" w:eastAsia="宋体"/>
          <w:bCs/>
          <w:sz w:val="24"/>
          <w:szCs w:val="24"/>
        </w:rPr>
        <w:t>▲8.热循环系统：Peltier 模块与复合液体循环冷却系统；</w:t>
      </w:r>
    </w:p>
    <w:p>
      <w:pPr>
        <w:spacing w:line="300" w:lineRule="exact"/>
        <w:rPr>
          <w:rFonts w:ascii="宋体" w:hAnsi="宋体" w:eastAsia="宋体"/>
          <w:bCs/>
          <w:sz w:val="24"/>
          <w:szCs w:val="24"/>
        </w:rPr>
      </w:pPr>
      <w:r>
        <w:rPr>
          <w:rFonts w:hint="eastAsia" w:ascii="宋体" w:hAnsi="宋体" w:eastAsia="宋体"/>
          <w:bCs/>
          <w:sz w:val="24"/>
          <w:szCs w:val="24"/>
        </w:rPr>
        <w:t>9.变温速率峰值：4 °C/s</w:t>
      </w:r>
    </w:p>
    <w:p>
      <w:pPr>
        <w:spacing w:line="300" w:lineRule="exact"/>
        <w:rPr>
          <w:rFonts w:ascii="宋体" w:hAnsi="宋体" w:eastAsia="宋体"/>
          <w:bCs/>
          <w:sz w:val="24"/>
          <w:szCs w:val="24"/>
        </w:rPr>
      </w:pPr>
      <w:r>
        <w:rPr>
          <w:rFonts w:hint="eastAsia" w:ascii="宋体" w:hAnsi="宋体" w:eastAsia="宋体"/>
          <w:bCs/>
          <w:sz w:val="24"/>
          <w:szCs w:val="24"/>
        </w:rPr>
        <w:t>10.温度范围：4-100 °C</w:t>
      </w:r>
    </w:p>
    <w:p>
      <w:pPr>
        <w:spacing w:line="300" w:lineRule="exact"/>
        <w:rPr>
          <w:rFonts w:ascii="宋体" w:hAnsi="宋体" w:eastAsia="宋体"/>
          <w:bCs/>
          <w:sz w:val="24"/>
          <w:szCs w:val="24"/>
        </w:rPr>
      </w:pPr>
      <w:r>
        <w:rPr>
          <w:rFonts w:hint="eastAsia" w:ascii="宋体" w:hAnsi="宋体" w:eastAsia="宋体"/>
          <w:bCs/>
          <w:sz w:val="24"/>
          <w:szCs w:val="24"/>
        </w:rPr>
        <w:t>▲11.TM一致性：±0.15 °C</w:t>
      </w:r>
    </w:p>
    <w:p>
      <w:pPr>
        <w:spacing w:line="300" w:lineRule="exact"/>
        <w:rPr>
          <w:rFonts w:ascii="宋体" w:hAnsi="宋体" w:eastAsia="宋体"/>
          <w:bCs/>
          <w:sz w:val="24"/>
          <w:szCs w:val="24"/>
        </w:rPr>
      </w:pPr>
      <w:r>
        <w:rPr>
          <w:rFonts w:hint="eastAsia" w:ascii="宋体" w:hAnsi="宋体" w:eastAsia="宋体"/>
          <w:bCs/>
          <w:sz w:val="24"/>
          <w:szCs w:val="24"/>
        </w:rPr>
        <w:t>12.检测范围：100-109 copies/assay</w:t>
      </w:r>
    </w:p>
    <w:p>
      <w:pPr>
        <w:spacing w:line="300" w:lineRule="exact"/>
        <w:rPr>
          <w:rFonts w:ascii="宋体" w:hAnsi="宋体" w:eastAsia="宋体"/>
          <w:bCs/>
          <w:sz w:val="24"/>
          <w:szCs w:val="24"/>
        </w:rPr>
      </w:pPr>
      <w:r>
        <w:rPr>
          <w:rFonts w:hint="eastAsia" w:ascii="宋体" w:hAnsi="宋体" w:eastAsia="宋体"/>
          <w:bCs/>
          <w:sz w:val="24"/>
          <w:szCs w:val="24"/>
        </w:rPr>
        <w:t>▲13.*运行时间：对于40个循环的定量PCR，反应时间小于45分钟；熔解曲线实验小于8分钟；</w:t>
      </w:r>
    </w:p>
    <w:p>
      <w:pPr>
        <w:spacing w:line="300" w:lineRule="exact"/>
        <w:rPr>
          <w:rFonts w:ascii="宋体" w:hAnsi="宋体" w:eastAsia="宋体"/>
          <w:bCs/>
          <w:sz w:val="24"/>
          <w:szCs w:val="24"/>
        </w:rPr>
      </w:pPr>
      <w:r>
        <w:rPr>
          <w:rFonts w:hint="eastAsia" w:ascii="宋体" w:hAnsi="宋体" w:eastAsia="宋体"/>
          <w:bCs/>
          <w:sz w:val="24"/>
          <w:szCs w:val="24"/>
        </w:rPr>
        <w:t>14.应用范围：支持绝对定量、相对定量、高分辨率熔解曲线分析等应用；</w:t>
      </w:r>
    </w:p>
    <w:p>
      <w:pPr>
        <w:spacing w:line="300" w:lineRule="exact"/>
        <w:rPr>
          <w:rFonts w:ascii="宋体" w:hAnsi="宋体" w:eastAsia="宋体"/>
          <w:bCs/>
          <w:sz w:val="24"/>
          <w:szCs w:val="24"/>
        </w:rPr>
      </w:pPr>
      <w:r>
        <w:rPr>
          <w:rFonts w:hint="eastAsia" w:ascii="宋体" w:hAnsi="宋体" w:eastAsia="宋体"/>
          <w:bCs/>
          <w:sz w:val="24"/>
          <w:szCs w:val="24"/>
        </w:rPr>
        <w:t>15.厂家提供免费上门或远程安装和培训；</w:t>
      </w:r>
    </w:p>
    <w:p>
      <w:pPr>
        <w:spacing w:line="300" w:lineRule="exact"/>
        <w:rPr>
          <w:rFonts w:ascii="宋体" w:hAnsi="宋体" w:eastAsia="宋体"/>
          <w:bCs/>
          <w:sz w:val="24"/>
          <w:szCs w:val="24"/>
        </w:rPr>
      </w:pPr>
      <w:r>
        <w:rPr>
          <w:rFonts w:hint="eastAsia" w:ascii="宋体" w:hAnsi="宋体" w:eastAsia="宋体"/>
          <w:bCs/>
          <w:sz w:val="24"/>
          <w:szCs w:val="24"/>
        </w:rPr>
        <w:t>16.软件终身免费升级；</w:t>
      </w:r>
    </w:p>
    <w:p>
      <w:pPr>
        <w:spacing w:line="300" w:lineRule="exact"/>
        <w:rPr>
          <w:rFonts w:ascii="宋体" w:hAnsi="宋体" w:eastAsia="宋体"/>
          <w:bCs/>
          <w:sz w:val="24"/>
          <w:szCs w:val="24"/>
        </w:rPr>
      </w:pPr>
      <w:r>
        <w:rPr>
          <w:rFonts w:hint="eastAsia" w:ascii="宋体" w:hAnsi="宋体" w:eastAsia="宋体"/>
          <w:bCs/>
          <w:sz w:val="24"/>
          <w:szCs w:val="24"/>
        </w:rPr>
        <w:t>17.硬件质保期不少于2年。</w:t>
      </w:r>
    </w:p>
    <w:p>
      <w:pPr>
        <w:spacing w:line="300" w:lineRule="exact"/>
        <w:rPr>
          <w:rFonts w:ascii="宋体" w:hAnsi="宋体" w:eastAsia="宋体" w:cs="宋体"/>
          <w:b/>
          <w:bCs/>
          <w:sz w:val="24"/>
          <w:szCs w:val="24"/>
        </w:rPr>
      </w:pPr>
      <w:r>
        <w:rPr>
          <w:rFonts w:hint="eastAsia" w:ascii="宋体" w:hAnsi="宋体" w:eastAsia="宋体" w:cs="宋体"/>
          <w:b/>
          <w:bCs/>
          <w:sz w:val="24"/>
          <w:szCs w:val="24"/>
        </w:rPr>
        <w:t>二、服务要求</w:t>
      </w:r>
    </w:p>
    <w:p>
      <w:pPr>
        <w:adjustRightInd/>
        <w:snapToGrid/>
        <w:spacing w:after="0" w:line="360" w:lineRule="auto"/>
        <w:ind w:firstLine="240" w:firstLineChars="100"/>
        <w:rPr>
          <w:rFonts w:ascii="宋体" w:hAnsi="宋体" w:eastAsia="宋体"/>
          <w:bCs/>
          <w:sz w:val="24"/>
          <w:szCs w:val="24"/>
        </w:rPr>
      </w:pPr>
      <w:r>
        <w:rPr>
          <w:rFonts w:hint="eastAsia" w:ascii="宋体" w:hAnsi="宋体" w:eastAsia="宋体"/>
          <w:bCs/>
          <w:sz w:val="24"/>
          <w:szCs w:val="24"/>
        </w:rPr>
        <w:t>1.技术培训：卖方负责派专业技术人员到学校进行集中培训，使其能熟练掌握仪器的各项性能（包括硬件和软件）。在仪器使用集中培训以后，若买方仍有技术问题，卖方在任何时候，都应在48小时以内提供详细技术方案并予以解决。</w:t>
      </w:r>
    </w:p>
    <w:p>
      <w:pPr>
        <w:adjustRightInd/>
        <w:snapToGrid/>
        <w:spacing w:after="0" w:line="360" w:lineRule="auto"/>
        <w:ind w:left="79" w:leftChars="36" w:firstLine="480" w:firstLineChars="200"/>
        <w:rPr>
          <w:rFonts w:ascii="宋体" w:hAnsi="宋体" w:eastAsia="宋体"/>
          <w:bCs/>
          <w:sz w:val="24"/>
          <w:szCs w:val="24"/>
        </w:rPr>
      </w:pPr>
      <w:r>
        <w:rPr>
          <w:rFonts w:hint="eastAsia" w:ascii="宋体" w:hAnsi="宋体" w:eastAsia="宋体"/>
          <w:bCs/>
          <w:sz w:val="24"/>
          <w:szCs w:val="24"/>
        </w:rPr>
        <w:t>2.保修期：免费质保期2年，终身维修，自验收合格次日起算，并提供相关承诺书。质保期内发生任何设备损坏，所需要的维修费用（包括零部件费用、维修费用）均由卖方承担（人为操作不当造成的损坏除外）。</w:t>
      </w:r>
    </w:p>
    <w:p>
      <w:pPr>
        <w:adjustRightInd/>
        <w:snapToGrid/>
        <w:spacing w:after="0" w:line="360" w:lineRule="auto"/>
        <w:ind w:left="79" w:leftChars="36" w:firstLine="480" w:firstLineChars="200"/>
        <w:rPr>
          <w:rFonts w:ascii="宋体" w:hAnsi="宋体" w:eastAsia="宋体"/>
          <w:bCs/>
          <w:sz w:val="24"/>
          <w:szCs w:val="24"/>
        </w:rPr>
      </w:pPr>
      <w:r>
        <w:rPr>
          <w:rFonts w:hint="eastAsia" w:ascii="宋体" w:hAnsi="宋体" w:eastAsia="宋体"/>
          <w:bCs/>
          <w:sz w:val="24"/>
          <w:szCs w:val="24"/>
        </w:rPr>
        <w:t>3.维修响应时间：卖方应在国内有专门负责的维修工程师或技术支持工程师。卖方应在2小时内电话响应，在24小时内对用户的服务要求提出解决方案，经确认如有需要，技术人员须在48小时内到达现场；重大问题或其他无法迅速解决的问题应在一周内解决或提出明确解决方案，否则卖方应赔偿相应损失。　</w:t>
      </w:r>
    </w:p>
    <w:p>
      <w:pPr>
        <w:adjustRightInd/>
        <w:snapToGrid/>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4.卖方免费提供由专业工程师现场指导的移机服务，并安装、调试。</w:t>
      </w:r>
    </w:p>
    <w:p>
      <w:pPr>
        <w:spacing w:after="0" w:line="360" w:lineRule="auto"/>
        <w:rPr>
          <w:rFonts w:ascii="宋体" w:hAnsi="宋体" w:eastAsia="宋体" w:cs="宋体"/>
          <w:b/>
          <w:bCs/>
          <w:sz w:val="24"/>
          <w:szCs w:val="24"/>
        </w:rPr>
      </w:pPr>
      <w:r>
        <w:rPr>
          <w:rFonts w:hint="eastAsia" w:ascii="宋体" w:hAnsi="宋体" w:eastAsia="宋体" w:cs="宋体"/>
          <w:b/>
          <w:bCs/>
          <w:sz w:val="24"/>
          <w:szCs w:val="24"/>
        </w:rPr>
        <w:t>三、安装要求</w:t>
      </w:r>
    </w:p>
    <w:p>
      <w:pPr>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1.按照国家现行行业规范标准进行安装，符合国家或行业质量检验评定标准，没有行业标准的产品，投标人应提供相关制造商标准。</w:t>
      </w:r>
    </w:p>
    <w:p>
      <w:pPr>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2.设备安装调试：仪器到货后，卖方在接到通知的7个工作日内派人前往负责该设备的安装、调试和操作培训，直至达到各项验收指标合格。</w:t>
      </w:r>
    </w:p>
    <w:p>
      <w:pPr>
        <w:spacing w:after="0" w:line="360" w:lineRule="auto"/>
        <w:rPr>
          <w:rFonts w:ascii="宋体" w:hAnsi="宋体" w:eastAsia="宋体" w:cs="宋体"/>
          <w:b/>
          <w:bCs/>
          <w:sz w:val="24"/>
          <w:szCs w:val="24"/>
        </w:rPr>
      </w:pPr>
      <w:r>
        <w:rPr>
          <w:rFonts w:hint="eastAsia" w:ascii="宋体" w:hAnsi="宋体" w:eastAsia="宋体" w:cs="宋体"/>
          <w:b/>
          <w:bCs/>
          <w:sz w:val="24"/>
          <w:szCs w:val="24"/>
        </w:rPr>
        <w:t>四、交货期、交货方式及交货地点</w:t>
      </w:r>
    </w:p>
    <w:p>
      <w:pPr>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1. 交货期：合同签订生效后，进口设备（免税）三个月内、国产设备及进口设备（非免税）一个月内全部设备、材料运抵现场，并安装、调试结束，验收合格，交付买方使用</w:t>
      </w:r>
    </w:p>
    <w:p>
      <w:pPr>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2. 交货方式：中标人在买方指定地点交货，并完成安装、调试。</w:t>
      </w:r>
    </w:p>
    <w:p>
      <w:pPr>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3. 交货地点：南京医科大学。</w:t>
      </w:r>
    </w:p>
    <w:p>
      <w:pPr>
        <w:adjustRightInd/>
        <w:snapToGrid/>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4.交付使用要同时向采购人提供详细的技术文件、安装记录等，同时提供两份产品使用说明书。</w:t>
      </w:r>
    </w:p>
    <w:p>
      <w:pPr>
        <w:spacing w:after="0" w:line="360" w:lineRule="auto"/>
        <w:rPr>
          <w:rFonts w:ascii="宋体" w:hAnsi="宋体" w:eastAsia="宋体" w:cs="宋体"/>
          <w:b/>
          <w:bCs/>
          <w:sz w:val="24"/>
          <w:szCs w:val="24"/>
        </w:rPr>
      </w:pPr>
      <w:r>
        <w:rPr>
          <w:rFonts w:hint="eastAsia" w:ascii="宋体" w:hAnsi="宋体" w:eastAsia="宋体" w:cs="宋体"/>
          <w:b/>
          <w:bCs/>
          <w:sz w:val="24"/>
          <w:szCs w:val="24"/>
        </w:rPr>
        <w:t>五、其他技术服务需求：</w:t>
      </w:r>
    </w:p>
    <w:p>
      <w:pPr>
        <w:adjustRightInd/>
        <w:snapToGrid/>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1、供应商须保证本次投标产品系优质材料和先进工艺制成新出厂的产品，且完全与投标文件所述相符。</w:t>
      </w:r>
    </w:p>
    <w:p>
      <w:pPr>
        <w:pStyle w:val="34"/>
        <w:spacing w:after="0" w:line="360" w:lineRule="auto"/>
        <w:ind w:firstLine="480"/>
        <w:rPr>
          <w:rFonts w:ascii="宋体" w:hAnsi="宋体" w:eastAsia="宋体"/>
          <w:bCs/>
          <w:sz w:val="24"/>
          <w:szCs w:val="24"/>
        </w:rPr>
      </w:pPr>
      <w:r>
        <w:rPr>
          <w:rFonts w:hint="eastAsia" w:ascii="宋体" w:hAnsi="宋体" w:eastAsia="宋体"/>
          <w:bCs/>
          <w:sz w:val="24"/>
          <w:szCs w:val="24"/>
        </w:rPr>
        <w:t>2、交付使用前发生的产品硬件损坏和不合格，一律退换新品。在质保期开始前三个月内，若发生产品损坏和性能不合格（非使用不当原因造成），除采购人同意修理者外，亦应退换新品。</w:t>
      </w:r>
    </w:p>
    <w:p>
      <w:pPr>
        <w:spacing w:after="0" w:line="360" w:lineRule="auto"/>
        <w:rPr>
          <w:rFonts w:ascii="宋体" w:hAnsi="宋体" w:eastAsia="宋体" w:cs="宋体"/>
          <w:b/>
          <w:bCs/>
          <w:sz w:val="24"/>
          <w:szCs w:val="24"/>
        </w:rPr>
      </w:pPr>
      <w:r>
        <w:rPr>
          <w:rFonts w:hint="eastAsia" w:ascii="宋体" w:hAnsi="宋体" w:eastAsia="宋体" w:cs="宋体"/>
          <w:b/>
          <w:bCs/>
          <w:sz w:val="24"/>
          <w:szCs w:val="24"/>
        </w:rPr>
        <w:t>六、货款支付</w:t>
      </w:r>
    </w:p>
    <w:p>
      <w:pPr>
        <w:pStyle w:val="34"/>
        <w:spacing w:after="0" w:line="360" w:lineRule="auto"/>
        <w:ind w:firstLine="480"/>
        <w:rPr>
          <w:rFonts w:ascii="宋体" w:hAnsi="宋体" w:eastAsia="宋体"/>
          <w:bCs/>
          <w:sz w:val="24"/>
          <w:szCs w:val="24"/>
        </w:rPr>
      </w:pPr>
      <w:r>
        <w:rPr>
          <w:rFonts w:hint="eastAsia" w:ascii="宋体" w:hAnsi="宋体" w:eastAsia="宋体"/>
          <w:bCs/>
          <w:sz w:val="24"/>
          <w:szCs w:val="24"/>
        </w:rPr>
        <w:t xml:space="preserve">1、（进口设备-免税）：采购人与外贸代理公司进行价款结算，合同签订后，由外贸代理公司开具90%信用证，使用部门借款支付90%的货款给外贸公司，待货到验收合格后，支付余下的10%货款给外贸公司。 </w:t>
      </w:r>
    </w:p>
    <w:p>
      <w:pPr>
        <w:pStyle w:val="34"/>
        <w:spacing w:after="0" w:line="360" w:lineRule="auto"/>
        <w:ind w:firstLine="480"/>
        <w:rPr>
          <w:rFonts w:ascii="宋体" w:hAnsi="宋体" w:eastAsia="宋体"/>
          <w:bCs/>
          <w:sz w:val="24"/>
          <w:szCs w:val="24"/>
        </w:rPr>
      </w:pPr>
      <w:r>
        <w:rPr>
          <w:rFonts w:hint="eastAsia" w:ascii="宋体" w:hAnsi="宋体" w:eastAsia="宋体"/>
          <w:bCs/>
          <w:sz w:val="24"/>
          <w:szCs w:val="24"/>
        </w:rPr>
        <w:t>2、（国产设备及进口设备-非免税）：货物交付且安装、调试后，并通过验收后一周内使用方支付合同总金额的90%，付款之前需收到中标方开具的合法有效的相应金额发票；自验收合格日起，使用方正常使用满一年后的一周内，支付剩余合同总金额的10%。</w:t>
      </w:r>
    </w:p>
    <w:p>
      <w:pPr>
        <w:adjustRightInd/>
        <w:snapToGrid/>
        <w:spacing w:after="0"/>
        <w:rPr>
          <w:rFonts w:ascii="宋体" w:hAnsi="宋体" w:eastAsia="宋体"/>
          <w:bCs/>
          <w:sz w:val="24"/>
          <w:szCs w:val="24"/>
        </w:rPr>
      </w:pPr>
      <w:r>
        <w:rPr>
          <w:rFonts w:ascii="宋体" w:hAnsi="宋体" w:eastAsia="宋体"/>
          <w:bCs/>
          <w:sz w:val="24"/>
          <w:szCs w:val="24"/>
        </w:rPr>
        <w:br w:type="page"/>
      </w:r>
    </w:p>
    <w:p>
      <w:pPr>
        <w:pStyle w:val="3"/>
        <w:keepNext w:val="0"/>
        <w:keepLines/>
        <w:spacing w:line="360" w:lineRule="auto"/>
        <w:ind w:firstLine="883" w:firstLineChars="200"/>
        <w:rPr>
          <w:rFonts w:ascii="宋体" w:hAnsi="宋体" w:eastAsia="宋体"/>
          <w:bCs/>
          <w:sz w:val="44"/>
          <w:szCs w:val="44"/>
        </w:rPr>
      </w:pPr>
      <w:bookmarkStart w:id="166" w:name="_Toc149807453"/>
      <w:r>
        <w:rPr>
          <w:rFonts w:hint="eastAsia" w:ascii="宋体" w:hAnsi="宋体" w:eastAsia="宋体"/>
          <w:b/>
          <w:bCs/>
          <w:sz w:val="44"/>
          <w:szCs w:val="44"/>
        </w:rPr>
        <w:t>第四章  评标方法与评标标准</w:t>
      </w:r>
      <w:bookmarkEnd w:id="166"/>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一、评标方法与定标原则</w:t>
      </w:r>
    </w:p>
    <w:p>
      <w:pPr>
        <w:pStyle w:val="28"/>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二、评标标准</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本项目采用综合评分法确定中标候选人。评标委员会将按下列评分办法和标准进行评分，总分值为100分。</w:t>
      </w:r>
    </w:p>
    <w:tbl>
      <w:tblPr>
        <w:tblStyle w:val="2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29"/>
        <w:gridCol w:w="6541"/>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676"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b/>
                <w:szCs w:val="21"/>
              </w:rPr>
            </w:pPr>
            <w:r>
              <w:rPr>
                <w:rFonts w:hint="eastAsia" w:ascii="微软雅黑" w:hAnsi="微软雅黑" w:cs="微软雅黑"/>
                <w:b/>
                <w:szCs w:val="21"/>
              </w:rPr>
              <w:t>序号</w:t>
            </w:r>
          </w:p>
        </w:tc>
        <w:tc>
          <w:tcPr>
            <w:tcW w:w="152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b/>
                <w:szCs w:val="21"/>
              </w:rPr>
            </w:pPr>
            <w:r>
              <w:rPr>
                <w:rFonts w:hint="eastAsia" w:ascii="微软雅黑" w:hAnsi="微软雅黑" w:cs="微软雅黑"/>
                <w:b/>
                <w:szCs w:val="21"/>
              </w:rPr>
              <w:t>评分因素</w:t>
            </w:r>
          </w:p>
        </w:tc>
        <w:tc>
          <w:tcPr>
            <w:tcW w:w="6541"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b/>
                <w:szCs w:val="21"/>
              </w:rPr>
            </w:pPr>
            <w:r>
              <w:rPr>
                <w:rFonts w:hint="eastAsia" w:ascii="微软雅黑" w:hAnsi="微软雅黑" w:cs="微软雅黑"/>
                <w:b/>
                <w:szCs w:val="21"/>
              </w:rPr>
              <w:t>评审细则</w:t>
            </w:r>
          </w:p>
        </w:tc>
        <w:tc>
          <w:tcPr>
            <w:tcW w:w="86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b/>
                <w:szCs w:val="21"/>
              </w:rPr>
            </w:pPr>
            <w:r>
              <w:rPr>
                <w:rFonts w:hint="eastAsia" w:ascii="微软雅黑" w:hAnsi="微软雅黑" w:cs="微软雅黑"/>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152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价格</w:t>
            </w:r>
          </w:p>
          <w:p>
            <w:pPr>
              <w:spacing w:after="0" w:line="400" w:lineRule="exact"/>
              <w:jc w:val="center"/>
              <w:rPr>
                <w:rFonts w:ascii="宋体" w:hAnsi="宋体" w:eastAsia="宋体" w:cs="宋体"/>
                <w:sz w:val="24"/>
                <w:szCs w:val="24"/>
              </w:rPr>
            </w:pPr>
            <w:r>
              <w:rPr>
                <w:rFonts w:hint="eastAsia" w:ascii="宋体" w:hAnsi="宋体" w:eastAsia="宋体" w:cs="宋体"/>
                <w:sz w:val="24"/>
                <w:szCs w:val="24"/>
              </w:rPr>
              <w:t>（30分）</w:t>
            </w:r>
          </w:p>
        </w:tc>
        <w:tc>
          <w:tcPr>
            <w:tcW w:w="6541"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宋体" w:hAnsi="宋体" w:eastAsia="宋体" w:cs="宋体"/>
                <w:sz w:val="24"/>
                <w:szCs w:val="24"/>
              </w:rPr>
            </w:pPr>
            <w:r>
              <w:rPr>
                <w:rFonts w:hint="eastAsia" w:ascii="宋体" w:hAnsi="宋体" w:eastAsia="宋体" w:cs="宋体"/>
                <w:sz w:val="24"/>
                <w:szCs w:val="24"/>
              </w:rPr>
              <w:t>本次招标，以进入详细评审的各投标人评标价的最低值为A值，A值为价格分的满分，即30分。其他投标人的价格分统一按照以下公式计算：投标人评标价得分=（A／该投标人评标价）×30。（保留小数点后两位）</w:t>
            </w:r>
          </w:p>
        </w:tc>
        <w:tc>
          <w:tcPr>
            <w:tcW w:w="86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2</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技术能力（47分）</w:t>
            </w:r>
          </w:p>
        </w:tc>
        <w:tc>
          <w:tcPr>
            <w:tcW w:w="6541"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宋体" w:hAnsi="宋体" w:eastAsia="宋体" w:cs="宋体"/>
                <w:sz w:val="24"/>
                <w:szCs w:val="24"/>
              </w:rPr>
            </w:pPr>
            <w:r>
              <w:rPr>
                <w:rFonts w:hint="eastAsia" w:ascii="宋体" w:hAnsi="宋体" w:eastAsia="宋体" w:cs="宋体"/>
                <w:sz w:val="24"/>
                <w:szCs w:val="24"/>
              </w:rPr>
              <w:t>评委可根据供应商所投产品的先进性、匹配性、可靠性、稳定性以及质量、性能情况打分。</w:t>
            </w:r>
          </w:p>
          <w:p>
            <w:pPr>
              <w:spacing w:after="0" w:line="400" w:lineRule="exact"/>
              <w:rPr>
                <w:rFonts w:ascii="宋体" w:hAnsi="宋体" w:eastAsia="宋体" w:cs="宋体"/>
                <w:sz w:val="24"/>
                <w:szCs w:val="24"/>
              </w:rPr>
            </w:pPr>
            <w:r>
              <w:rPr>
                <w:rFonts w:hint="eastAsia" w:ascii="宋体" w:hAnsi="宋体" w:eastAsia="宋体" w:cs="宋体"/>
                <w:sz w:val="24"/>
                <w:szCs w:val="24"/>
              </w:rPr>
              <w:t>产品性能非常优越、与采购需求匹配性高、产品质量稳定性及可靠性非常优越的得5分;</w:t>
            </w:r>
          </w:p>
          <w:p>
            <w:pPr>
              <w:spacing w:after="0" w:line="400" w:lineRule="exact"/>
              <w:rPr>
                <w:rFonts w:ascii="宋体" w:hAnsi="宋体" w:eastAsia="宋体" w:cs="宋体"/>
                <w:sz w:val="24"/>
                <w:szCs w:val="24"/>
              </w:rPr>
            </w:pPr>
            <w:r>
              <w:rPr>
                <w:rFonts w:hint="eastAsia" w:ascii="宋体" w:hAnsi="宋体" w:eastAsia="宋体" w:cs="宋体"/>
                <w:sz w:val="24"/>
                <w:szCs w:val="24"/>
              </w:rPr>
              <w:t>产品性能优越、与采购需求较匹配、产品质量稳定性及可靠性优越的得3分；</w:t>
            </w:r>
          </w:p>
          <w:p>
            <w:pPr>
              <w:spacing w:after="0" w:line="400" w:lineRule="exact"/>
              <w:rPr>
                <w:rFonts w:ascii="宋体" w:hAnsi="宋体" w:eastAsia="宋体" w:cs="宋体"/>
                <w:sz w:val="24"/>
                <w:szCs w:val="24"/>
              </w:rPr>
            </w:pPr>
            <w:r>
              <w:rPr>
                <w:rFonts w:hint="eastAsia" w:ascii="宋体" w:hAnsi="宋体" w:eastAsia="宋体" w:cs="宋体"/>
                <w:sz w:val="24"/>
                <w:szCs w:val="24"/>
              </w:rPr>
              <w:t>产品性能一般、与采购需求匹配度较差、产品质量稳定性及可靠性较好的得1分。</w:t>
            </w:r>
          </w:p>
        </w:tc>
        <w:tc>
          <w:tcPr>
            <w:tcW w:w="86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p>
        </w:tc>
        <w:tc>
          <w:tcPr>
            <w:tcW w:w="6541"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宋体" w:hAnsi="宋体" w:eastAsia="宋体" w:cs="宋体"/>
                <w:sz w:val="24"/>
                <w:szCs w:val="24"/>
              </w:rPr>
            </w:pPr>
            <w:r>
              <w:rPr>
                <w:rFonts w:hint="eastAsia" w:ascii="宋体" w:hAnsi="宋体" w:eastAsia="宋体" w:cs="宋体"/>
                <w:sz w:val="24"/>
                <w:szCs w:val="24"/>
              </w:rPr>
              <w:t>根据投标人技术参数响应情况评分。“▲”的为重要技术指标，出现一个负偏离扣7分；其他一般技术指标出现负偏离，每一个扣5分；扣完为止。投标人须对照招标技术参数要求逐条列出并对比。“▲”技术参数需提供技术支持资料（如生产厂家印制的产品样本或说明书，如样本或说明书无法体现本次招标要求的功能或技术参数，则须提供由设备生产厂家加盖公章的功能或技术参数文件原件），否则评标委员会可以认定其所投产品相应技术参数为负偏离</w:t>
            </w:r>
          </w:p>
        </w:tc>
        <w:tc>
          <w:tcPr>
            <w:tcW w:w="86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3</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服务</w:t>
            </w:r>
          </w:p>
          <w:p>
            <w:pPr>
              <w:spacing w:after="0" w:line="400" w:lineRule="exact"/>
              <w:jc w:val="center"/>
              <w:rPr>
                <w:rFonts w:ascii="宋体" w:hAnsi="宋体" w:eastAsia="宋体" w:cs="宋体"/>
                <w:sz w:val="24"/>
                <w:szCs w:val="24"/>
              </w:rPr>
            </w:pPr>
            <w:r>
              <w:rPr>
                <w:rFonts w:hint="eastAsia" w:ascii="宋体" w:hAnsi="宋体" w:eastAsia="宋体" w:cs="宋体"/>
                <w:sz w:val="24"/>
                <w:szCs w:val="24"/>
              </w:rPr>
              <w:t>（14分）</w:t>
            </w:r>
          </w:p>
        </w:tc>
        <w:tc>
          <w:tcPr>
            <w:tcW w:w="6541"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宋体" w:hAnsi="宋体" w:eastAsia="宋体" w:cs="宋体"/>
                <w:sz w:val="24"/>
                <w:szCs w:val="24"/>
              </w:rPr>
            </w:pPr>
            <w:r>
              <w:rPr>
                <w:rFonts w:hint="eastAsia" w:ascii="宋体" w:hAnsi="宋体" w:eastAsia="宋体" w:cs="宋体"/>
                <w:sz w:val="24"/>
                <w:szCs w:val="24"/>
              </w:rPr>
              <w:t>售后服务：售后服务体系、售后服务人员、售后服务承诺、售后服务应答及处理时间，质保期内的售后服务范围、质保期满后的售后服务范等情况进行综合打分。</w:t>
            </w:r>
          </w:p>
          <w:p>
            <w:pPr>
              <w:spacing w:after="0" w:line="400" w:lineRule="exact"/>
              <w:rPr>
                <w:rFonts w:ascii="宋体" w:hAnsi="宋体" w:eastAsia="宋体" w:cs="宋体"/>
                <w:sz w:val="24"/>
                <w:szCs w:val="24"/>
              </w:rPr>
            </w:pPr>
            <w:r>
              <w:rPr>
                <w:rFonts w:hint="eastAsia" w:ascii="宋体" w:hAnsi="宋体" w:eastAsia="宋体" w:cs="宋体"/>
                <w:sz w:val="24"/>
                <w:szCs w:val="24"/>
              </w:rPr>
              <w:t>1、售后服务体系健全的和售后服务承诺切实可行的并且售后服务响应优于招标文件要求的、质保期内的售后服务和质保期满后的售后服务内容优的得10分；</w:t>
            </w:r>
          </w:p>
          <w:p>
            <w:pPr>
              <w:spacing w:after="0" w:line="400" w:lineRule="exact"/>
              <w:rPr>
                <w:rFonts w:ascii="宋体" w:hAnsi="宋体" w:eastAsia="宋体" w:cs="宋体"/>
                <w:sz w:val="24"/>
                <w:szCs w:val="24"/>
              </w:rPr>
            </w:pPr>
            <w:r>
              <w:rPr>
                <w:rFonts w:hint="eastAsia" w:ascii="宋体" w:hAnsi="宋体" w:eastAsia="宋体" w:cs="宋体"/>
                <w:sz w:val="24"/>
                <w:szCs w:val="24"/>
              </w:rPr>
              <w:t>2、售后服务体系较健全的和售后服务承诺可行的并且售后服务响应较优于招标文件要求的、质保期内的售后服务和质保期满后的售后服务内容较好的得6分；</w:t>
            </w:r>
          </w:p>
          <w:p>
            <w:pPr>
              <w:spacing w:after="0" w:line="400" w:lineRule="exact"/>
              <w:rPr>
                <w:rFonts w:ascii="宋体" w:hAnsi="宋体" w:eastAsia="宋体" w:cs="宋体"/>
                <w:sz w:val="24"/>
                <w:szCs w:val="24"/>
              </w:rPr>
            </w:pPr>
            <w:r>
              <w:rPr>
                <w:rFonts w:hint="eastAsia" w:ascii="宋体" w:hAnsi="宋体" w:eastAsia="宋体" w:cs="宋体"/>
                <w:sz w:val="24"/>
                <w:szCs w:val="24"/>
              </w:rPr>
              <w:t>3、没有完整的售后服务体系，售后服务承没有实质性内容，售后服务响应基本满足招标文件要求的得2分。</w:t>
            </w:r>
          </w:p>
        </w:tc>
        <w:tc>
          <w:tcPr>
            <w:tcW w:w="86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p>
        </w:tc>
        <w:tc>
          <w:tcPr>
            <w:tcW w:w="6541"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宋体" w:hAnsi="宋体" w:eastAsia="宋体" w:cs="宋体"/>
                <w:sz w:val="24"/>
                <w:szCs w:val="24"/>
              </w:rPr>
            </w:pPr>
            <w:r>
              <w:rPr>
                <w:rFonts w:hint="eastAsia" w:ascii="宋体" w:hAnsi="宋体" w:eastAsia="宋体" w:cs="宋体"/>
                <w:sz w:val="24"/>
                <w:szCs w:val="24"/>
              </w:rPr>
              <w:t>培训：提供的买方操作、维护人员的培训方案及计划完全满足采购方的需求得4分，培训方案简单、无具体培训计划的得1分；无方案得0分。</w:t>
            </w:r>
          </w:p>
        </w:tc>
        <w:tc>
          <w:tcPr>
            <w:tcW w:w="86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4</w:t>
            </w:r>
          </w:p>
        </w:tc>
        <w:tc>
          <w:tcPr>
            <w:tcW w:w="152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交货期</w:t>
            </w:r>
          </w:p>
          <w:p>
            <w:pPr>
              <w:spacing w:after="0" w:line="400" w:lineRule="exact"/>
              <w:jc w:val="center"/>
              <w:rPr>
                <w:rFonts w:ascii="宋体" w:hAnsi="宋体" w:eastAsia="宋体" w:cs="宋体"/>
                <w:sz w:val="24"/>
                <w:szCs w:val="24"/>
              </w:rPr>
            </w:pPr>
            <w:r>
              <w:rPr>
                <w:rFonts w:hint="eastAsia" w:ascii="宋体" w:hAnsi="宋体" w:eastAsia="宋体" w:cs="宋体"/>
                <w:sz w:val="24"/>
                <w:szCs w:val="24"/>
              </w:rPr>
              <w:t>（2分）</w:t>
            </w:r>
          </w:p>
        </w:tc>
        <w:tc>
          <w:tcPr>
            <w:tcW w:w="6541"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宋体" w:hAnsi="宋体" w:eastAsia="宋体" w:cs="宋体"/>
                <w:sz w:val="24"/>
                <w:szCs w:val="24"/>
              </w:rPr>
            </w:pPr>
            <w:r>
              <w:rPr>
                <w:rFonts w:hint="eastAsia" w:ascii="宋体" w:hAnsi="宋体" w:eastAsia="宋体" w:cs="宋体"/>
                <w:sz w:val="24"/>
                <w:szCs w:val="24"/>
              </w:rPr>
              <w:t>在满足招标文件要求的基础上由评委综合评比，交货期最短的得2分，次短的得1分，其余不得分。</w:t>
            </w:r>
          </w:p>
        </w:tc>
        <w:tc>
          <w:tcPr>
            <w:tcW w:w="86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5</w:t>
            </w:r>
          </w:p>
        </w:tc>
        <w:tc>
          <w:tcPr>
            <w:tcW w:w="152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业绩</w:t>
            </w:r>
          </w:p>
          <w:p>
            <w:pPr>
              <w:spacing w:after="0" w:line="400" w:lineRule="exact"/>
              <w:jc w:val="center"/>
              <w:rPr>
                <w:rFonts w:ascii="宋体" w:hAnsi="宋体" w:eastAsia="宋体" w:cs="宋体"/>
                <w:sz w:val="24"/>
                <w:szCs w:val="24"/>
              </w:rPr>
            </w:pPr>
            <w:r>
              <w:rPr>
                <w:rFonts w:hint="eastAsia" w:ascii="宋体" w:hAnsi="宋体" w:eastAsia="宋体" w:cs="宋体"/>
                <w:sz w:val="24"/>
                <w:szCs w:val="24"/>
              </w:rPr>
              <w:t>（4分）</w:t>
            </w:r>
          </w:p>
        </w:tc>
        <w:tc>
          <w:tcPr>
            <w:tcW w:w="6541"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宋体" w:hAnsi="宋体" w:eastAsia="宋体" w:cs="宋体"/>
                <w:sz w:val="24"/>
                <w:szCs w:val="24"/>
              </w:rPr>
            </w:pPr>
            <w:r>
              <w:rPr>
                <w:rFonts w:hint="eastAsia" w:ascii="宋体" w:hAnsi="宋体" w:eastAsia="宋体" w:cs="宋体"/>
                <w:sz w:val="24"/>
                <w:szCs w:val="24"/>
              </w:rPr>
              <w:t>投标人近三年以来的类似项目业绩（以合同签订时间为准），每提供一个得2分，最高得4分。（提供有效的加盖公章的合同复印件）</w:t>
            </w:r>
          </w:p>
        </w:tc>
        <w:tc>
          <w:tcPr>
            <w:tcW w:w="86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仿宋"/>
                <w:sz w:val="24"/>
                <w:szCs w:val="24"/>
              </w:rPr>
              <w:t>6</w:t>
            </w:r>
          </w:p>
        </w:tc>
        <w:tc>
          <w:tcPr>
            <w:tcW w:w="152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仿宋"/>
                <w:sz w:val="24"/>
                <w:szCs w:val="24"/>
              </w:rPr>
            </w:pPr>
            <w:r>
              <w:rPr>
                <w:rFonts w:hint="eastAsia" w:ascii="宋体" w:hAnsi="宋体" w:eastAsia="宋体" w:cs="仿宋"/>
                <w:sz w:val="24"/>
                <w:szCs w:val="24"/>
              </w:rPr>
              <w:t>免费质保期</w:t>
            </w:r>
          </w:p>
          <w:p>
            <w:pPr>
              <w:pStyle w:val="19"/>
              <w:spacing w:after="0" w:line="400" w:lineRule="exact"/>
              <w:ind w:firstLine="0" w:firstLineChars="0"/>
              <w:jc w:val="center"/>
              <w:rPr>
                <w:rFonts w:ascii="宋体" w:hAnsi="宋体" w:cs="宋体"/>
                <w:sz w:val="24"/>
                <w:szCs w:val="24"/>
              </w:rPr>
            </w:pPr>
            <w:r>
              <w:rPr>
                <w:rFonts w:hint="eastAsia" w:ascii="宋体" w:hAnsi="宋体" w:cs="仿宋"/>
                <w:sz w:val="24"/>
                <w:szCs w:val="24"/>
              </w:rPr>
              <w:t>（3分）</w:t>
            </w:r>
          </w:p>
        </w:tc>
        <w:tc>
          <w:tcPr>
            <w:tcW w:w="6541"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宋体" w:hAnsi="宋体" w:eastAsia="宋体" w:cs="宋体"/>
                <w:sz w:val="24"/>
                <w:szCs w:val="24"/>
              </w:rPr>
            </w:pPr>
            <w:r>
              <w:rPr>
                <w:rFonts w:hint="eastAsia" w:ascii="宋体" w:hAnsi="宋体" w:eastAsia="宋体" w:cs="仿宋"/>
                <w:sz w:val="24"/>
                <w:szCs w:val="24"/>
              </w:rPr>
              <w:t>满足招标文件免费质保期要求（2年）的得2分，在此基础上免费质保每增加1年加1分，本项最高得 3 分。</w:t>
            </w:r>
          </w:p>
        </w:tc>
        <w:tc>
          <w:tcPr>
            <w:tcW w:w="86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sz w:val="24"/>
                <w:szCs w:val="24"/>
              </w:rPr>
            </w:pPr>
            <w:r>
              <w:rPr>
                <w:rFonts w:hint="eastAsia" w:ascii="宋体" w:hAnsi="宋体" w:eastAsia="宋体"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746"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bCs/>
                <w:sz w:val="24"/>
                <w:szCs w:val="24"/>
              </w:rPr>
            </w:pPr>
            <w:r>
              <w:rPr>
                <w:rFonts w:hint="eastAsia" w:ascii="宋体" w:hAnsi="宋体" w:eastAsia="宋体" w:cs="宋体"/>
                <w:bCs/>
                <w:sz w:val="24"/>
                <w:szCs w:val="24"/>
              </w:rPr>
              <w:t>合计</w:t>
            </w:r>
          </w:p>
        </w:tc>
        <w:tc>
          <w:tcPr>
            <w:tcW w:w="86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宋体"/>
                <w:bCs/>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=SUM(ABOVE) \* MERGEFORMAT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100</w:t>
            </w:r>
            <w:r>
              <w:rPr>
                <w:rFonts w:hint="eastAsia" w:ascii="宋体" w:hAnsi="宋体" w:eastAsia="宋体" w:cs="宋体"/>
                <w:bCs/>
                <w:sz w:val="24"/>
                <w:szCs w:val="24"/>
              </w:rPr>
              <w:fldChar w:fldCharType="end"/>
            </w:r>
          </w:p>
        </w:tc>
      </w:tr>
    </w:tbl>
    <w:p>
      <w:pPr>
        <w:pStyle w:val="2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bookmarkEnd w:id="164"/>
    <w:p>
      <w:pPr>
        <w:pStyle w:val="3"/>
        <w:pageBreakBefore/>
        <w:rPr>
          <w:rFonts w:ascii="宋体" w:hAnsi="宋体" w:eastAsia="宋体"/>
          <w:b/>
          <w:bCs/>
          <w:sz w:val="44"/>
        </w:rPr>
      </w:pPr>
      <w:bookmarkStart w:id="167" w:name="_Toc149807454"/>
      <w:r>
        <w:rPr>
          <w:rFonts w:hint="eastAsia" w:ascii="宋体" w:hAnsi="宋体" w:eastAsia="宋体"/>
          <w:b/>
          <w:bCs/>
          <w:sz w:val="44"/>
        </w:rPr>
        <w:t>第五章  投标文件格式</w:t>
      </w:r>
      <w:bookmarkEnd w:id="167"/>
      <w:r>
        <w:rPr>
          <w:rFonts w:hint="eastAsia" w:ascii="宋体" w:hAnsi="宋体" w:eastAsia="宋体"/>
          <w:b/>
          <w:bCs/>
          <w:sz w:val="44"/>
        </w:rPr>
        <w:t xml:space="preserve"> </w:t>
      </w:r>
    </w:p>
    <w:p>
      <w:pPr>
        <w:jc w:val="center"/>
        <w:rPr>
          <w:rFonts w:ascii="宋体" w:hAnsi="宋体"/>
          <w:b/>
          <w:sz w:val="72"/>
        </w:rPr>
      </w:pPr>
      <w:bookmarkStart w:id="168" w:name="_Hlt26671244"/>
      <w:bookmarkEnd w:id="168"/>
      <w:bookmarkStart w:id="169" w:name="_Hlt26955039"/>
      <w:bookmarkEnd w:id="169"/>
      <w:bookmarkStart w:id="170" w:name="_Toc49090576"/>
      <w:bookmarkStart w:id="171" w:name="_Toc26554094"/>
      <w:bookmarkStart w:id="172" w:name="_Toc120614282"/>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8"/>
        <w:ind w:firstLine="0"/>
        <w:jc w:val="center"/>
        <w:rPr>
          <w:rFonts w:ascii="宋体" w:hAnsi="宋体" w:cs="宋体"/>
          <w:b/>
        </w:rPr>
      </w:pPr>
      <w:bookmarkStart w:id="173" w:name="_Toc517190894"/>
      <w:r>
        <w:rPr>
          <w:rFonts w:hint="eastAsia" w:ascii="宋体" w:hAnsi="宋体" w:cs="宋体"/>
          <w:b/>
        </w:rPr>
        <w:t>投标函格式</w:t>
      </w:r>
      <w:bookmarkEnd w:id="173"/>
    </w:p>
    <w:p>
      <w:pPr>
        <w:pStyle w:val="28"/>
        <w:spacing w:before="0" w:after="0" w:line="420" w:lineRule="exact"/>
        <w:ind w:firstLine="0"/>
        <w:rPr>
          <w:rFonts w:ascii="宋体" w:hAnsi="宋体" w:cs="宋体"/>
          <w:kern w:val="2"/>
        </w:rPr>
      </w:pPr>
      <w:r>
        <w:rPr>
          <w:rFonts w:hint="eastAsia" w:ascii="宋体" w:hAnsi="宋体" w:cs="宋体"/>
          <w:kern w:val="2"/>
        </w:rPr>
        <w:t>致：南京医科大学</w:t>
      </w:r>
    </w:p>
    <w:p>
      <w:pPr>
        <w:pStyle w:val="28"/>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28"/>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28"/>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28"/>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28"/>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28"/>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28"/>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28"/>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28"/>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28"/>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28"/>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28"/>
        <w:spacing w:before="0" w:after="0" w:line="420" w:lineRule="exact"/>
        <w:ind w:left="440" w:leftChars="200" w:firstLine="3000" w:firstLineChars="1250"/>
        <w:rPr>
          <w:rFonts w:ascii="宋体" w:hAnsi="宋体" w:cs="宋体"/>
          <w:kern w:val="2"/>
        </w:rPr>
      </w:pPr>
    </w:p>
    <w:p>
      <w:pPr>
        <w:pStyle w:val="28"/>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120" w:afterLines="50"/>
        <w:rPr>
          <w:rFonts w:ascii="宋体" w:hAnsi="宋体" w:eastAsia="宋体" w:cs="宋体"/>
          <w:sz w:val="24"/>
          <w:szCs w:val="24"/>
        </w:rPr>
      </w:pPr>
    </w:p>
    <w:p>
      <w:pPr>
        <w:pStyle w:val="28"/>
        <w:ind w:firstLine="0"/>
        <w:jc w:val="center"/>
        <w:rPr>
          <w:rFonts w:ascii="宋体" w:hAnsi="宋体" w:cs="宋体"/>
          <w:b/>
        </w:rPr>
      </w:pPr>
      <w:bookmarkStart w:id="174" w:name="_Toc517190895"/>
    </w:p>
    <w:p>
      <w:pPr>
        <w:pStyle w:val="28"/>
        <w:ind w:firstLine="0"/>
        <w:jc w:val="center"/>
        <w:rPr>
          <w:rFonts w:ascii="宋体" w:hAnsi="宋体" w:cs="宋体"/>
          <w:b/>
        </w:rPr>
      </w:pPr>
      <w:r>
        <w:rPr>
          <w:rFonts w:hint="eastAsia" w:ascii="宋体" w:hAnsi="宋体" w:cs="宋体"/>
          <w:b/>
        </w:rPr>
        <w:t>法人授权书</w:t>
      </w:r>
      <w:bookmarkEnd w:id="174"/>
    </w:p>
    <w:p>
      <w:pPr>
        <w:pStyle w:val="44"/>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4"/>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4"/>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4"/>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_____________________    _   _  </w:t>
      </w:r>
    </w:p>
    <w:p>
      <w:pPr>
        <w:pStyle w:val="44"/>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44"/>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4"/>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4"/>
        <w:spacing w:line="360" w:lineRule="auto"/>
        <w:ind w:firstLine="480"/>
        <w:jc w:val="right"/>
        <w:rPr>
          <w:rFonts w:ascii="宋体" w:hAnsi="宋体" w:cs="宋体"/>
          <w:sz w:val="24"/>
          <w:szCs w:val="24"/>
        </w:rPr>
      </w:pPr>
    </w:p>
    <w:p>
      <w:pPr>
        <w:pStyle w:val="44"/>
        <w:spacing w:line="360" w:lineRule="auto"/>
        <w:ind w:firstLine="480"/>
        <w:rPr>
          <w:rFonts w:ascii="宋体" w:hAnsi="宋体" w:cs="宋体"/>
          <w:sz w:val="24"/>
          <w:szCs w:val="24"/>
        </w:rPr>
      </w:pPr>
      <w:r>
        <w:rPr>
          <w:rFonts w:hint="eastAsia" w:ascii="宋体" w:hAnsi="宋体" w:cs="宋体"/>
          <w:sz w:val="24"/>
          <w:szCs w:val="24"/>
        </w:rPr>
        <w:t>法人签字：</w:t>
      </w:r>
    </w:p>
    <w:p>
      <w:pPr>
        <w:pStyle w:val="44"/>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4"/>
        <w:spacing w:line="360" w:lineRule="auto"/>
        <w:ind w:firstLine="480"/>
        <w:jc w:val="right"/>
        <w:rPr>
          <w:rFonts w:ascii="宋体" w:hAnsi="宋体" w:cs="宋体"/>
          <w:sz w:val="24"/>
          <w:szCs w:val="24"/>
        </w:rPr>
      </w:pPr>
    </w:p>
    <w:p>
      <w:pPr>
        <w:pStyle w:val="44"/>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rPr>
          <w:rFonts w:ascii="宋体" w:hAnsi="宋体" w:eastAsia="宋体" w:cs="宋体"/>
          <w:sz w:val="24"/>
          <w:szCs w:val="24"/>
        </w:rPr>
      </w:pPr>
      <w:bookmarkStart w:id="175" w:name="_格式3__银行出具的资信证明"/>
      <w:bookmarkEnd w:id="175"/>
      <w:bookmarkStart w:id="176" w:name="_Hlt26955070"/>
      <w:bookmarkEnd w:id="176"/>
      <w:bookmarkStart w:id="177" w:name="_Hlt26671380"/>
      <w:bookmarkEnd w:id="177"/>
    </w:p>
    <w:p>
      <w:pPr>
        <w:pStyle w:val="4"/>
        <w:rPr>
          <w:rFonts w:ascii="宋体" w:hAnsi="宋体" w:eastAsia="宋体" w:cs="宋体"/>
          <w:sz w:val="24"/>
          <w:szCs w:val="24"/>
        </w:rPr>
      </w:pPr>
    </w:p>
    <w:p>
      <w:pPr>
        <w:pStyle w:val="28"/>
        <w:pageBreakBefore/>
        <w:ind w:firstLine="0"/>
        <w:jc w:val="center"/>
        <w:rPr>
          <w:rFonts w:ascii="宋体" w:hAnsi="宋体" w:cs="宋体"/>
          <w:b/>
        </w:rPr>
      </w:pPr>
      <w:bookmarkStart w:id="178" w:name="_Toc517190896"/>
      <w:r>
        <w:rPr>
          <w:rFonts w:hint="eastAsia" w:ascii="宋体" w:hAnsi="宋体" w:cs="宋体"/>
          <w:b/>
        </w:rPr>
        <w:t>开标一览表</w:t>
      </w:r>
      <w:bookmarkEnd w:id="178"/>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28"/>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2"/>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28"/>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0"/>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70"/>
    <w:bookmarkEnd w:id="171"/>
    <w:bookmarkEnd w:id="172"/>
    <w:p>
      <w:pPr>
        <w:jc w:val="center"/>
        <w:rPr>
          <w:rFonts w:ascii="宋体" w:hAnsi="宋体" w:eastAsia="宋体" w:cs="宋体"/>
          <w:b/>
          <w:sz w:val="24"/>
          <w:szCs w:val="24"/>
        </w:rPr>
      </w:pPr>
      <w:bookmarkStart w:id="179"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0" w:name="OLE_LINK10"/>
            <w:bookmarkStart w:id="181" w:name="OLE_LINK9"/>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 xml:space="preserve">无重大违法说明 </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80"/>
      <w:bookmarkEnd w:id="181"/>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6"/>
      </w:pPr>
    </w:p>
    <w:p>
      <w:pPr>
        <w:pStyle w:val="6"/>
      </w:pPr>
    </w:p>
    <w:p>
      <w:pPr>
        <w:pStyle w:val="6"/>
      </w:pPr>
    </w:p>
    <w:p>
      <w:pPr>
        <w:pStyle w:val="6"/>
      </w:pPr>
    </w:p>
    <w:p>
      <w:pPr>
        <w:pStyle w:val="6"/>
      </w:pPr>
    </w:p>
    <w:p>
      <w:pPr>
        <w:pStyle w:val="6"/>
      </w:pPr>
    </w:p>
    <w:p>
      <w:pPr>
        <w:pStyle w:val="6"/>
      </w:pPr>
    </w:p>
    <w:p>
      <w:pPr>
        <w:pStyle w:val="6"/>
      </w:pPr>
    </w:p>
    <w:bookmarkEnd w:id="179"/>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2"/>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2"/>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0"/>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2"/>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2.1结算方式：</w:t>
      </w:r>
      <w:r>
        <w:rPr>
          <w:rFonts w:hint="eastAsia" w:hAnsi="宋体" w:eastAsia="宋体"/>
          <w:sz w:val="24"/>
          <w:szCs w:val="28"/>
        </w:rPr>
        <w:t>（请根据实际情况选择和修改）</w:t>
      </w:r>
    </w:p>
    <w:p>
      <w:pPr>
        <w:pStyle w:val="12"/>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且安装、调试后，并通过验收后一周内甲方支付合同总金额的90%，付款之前需收到乙方开具的合法有效的相应金额发票；自验收合格次日起，甲方正常使用满一年后的一周内，支付剩余合同总金额的10%。</w:t>
      </w:r>
    </w:p>
    <w:p>
      <w:pPr>
        <w:pStyle w:val="12"/>
        <w:spacing w:before="120" w:after="120" w:line="330" w:lineRule="atLeast"/>
        <w:ind w:firstLine="480" w:firstLineChars="200"/>
        <w:rPr>
          <w:rFonts w:hAnsi="宋体" w:eastAsia="宋体"/>
          <w:sz w:val="24"/>
          <w:szCs w:val="28"/>
        </w:rPr>
      </w:pPr>
      <w:r>
        <w:rPr>
          <w:rFonts w:hAnsi="宋体" w:eastAsia="宋体"/>
          <w:sz w:val="24"/>
          <w:szCs w:val="28"/>
        </w:rPr>
        <w:t>B</w:t>
      </w:r>
      <w:r>
        <w:rPr>
          <w:rFonts w:hint="eastAsia" w:hAnsi="宋体" w:eastAsia="宋体"/>
          <w:sz w:val="24"/>
          <w:szCs w:val="28"/>
        </w:rPr>
        <w:t>【进口设备（免税）】</w:t>
      </w:r>
      <w:r>
        <w:rPr>
          <w:rFonts w:hAnsi="宋体" w:eastAsia="宋体"/>
          <w:sz w:val="24"/>
          <w:szCs w:val="28"/>
        </w:rPr>
        <w:t>：根据委托代理进口协议，甲方与外贸代理公司</w:t>
      </w:r>
      <w:r>
        <w:rPr>
          <w:rFonts w:hint="eastAsia" w:hAnsi="宋体" w:eastAsia="宋体"/>
          <w:sz w:val="24"/>
          <w:szCs w:val="28"/>
        </w:rPr>
        <w:t>(</w:t>
      </w:r>
      <w:r>
        <w:rPr>
          <w:rFonts w:hint="eastAsia" w:hAnsi="宋体" w:eastAsia="宋体"/>
          <w:sz w:val="24"/>
          <w:szCs w:val="28"/>
          <w:u w:val="single"/>
        </w:rPr>
        <w:t xml:space="preserve">         </w:t>
      </w:r>
      <w:r>
        <w:rPr>
          <w:rFonts w:hint="eastAsia" w:hAnsi="宋体" w:eastAsia="宋体"/>
          <w:sz w:val="24"/>
          <w:szCs w:val="28"/>
        </w:rPr>
        <w:t>)</w:t>
      </w:r>
      <w:r>
        <w:rPr>
          <w:rFonts w:hAnsi="宋体" w:eastAsia="宋体"/>
          <w:sz w:val="24"/>
          <w:szCs w:val="28"/>
        </w:rPr>
        <w:t>进行结算。</w:t>
      </w:r>
    </w:p>
    <w:p>
      <w:pPr>
        <w:pStyle w:val="12"/>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2"/>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2"/>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2"/>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2"/>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2"/>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2"/>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2"/>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2"/>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2"/>
        <w:spacing w:before="120" w:after="120" w:line="330" w:lineRule="atLeast"/>
        <w:ind w:firstLine="480" w:firstLineChars="200"/>
        <w:rPr>
          <w:rFonts w:hAnsi="宋体" w:eastAsia="宋体"/>
          <w:sz w:val="24"/>
          <w:szCs w:val="24"/>
        </w:rPr>
      </w:pPr>
      <w:r>
        <w:rPr>
          <w:rFonts w:hint="eastAsia" w:hAnsi="宋体" w:eastAsia="宋体"/>
          <w:sz w:val="24"/>
          <w:szCs w:val="24"/>
        </w:rPr>
        <w:t>五、</w:t>
      </w:r>
      <w:r>
        <w:rPr>
          <w:rFonts w:hAnsi="宋体" w:eastAsia="宋体"/>
          <w:b/>
          <w:sz w:val="24"/>
          <w:szCs w:val="24"/>
        </w:rPr>
        <w:t>质量保证及售后服务</w:t>
      </w:r>
    </w:p>
    <w:p>
      <w:pPr>
        <w:pStyle w:val="12"/>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2"/>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2"/>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2"/>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2"/>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2"/>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2"/>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2"/>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2"/>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2"/>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2"/>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w:t>
      </w:r>
      <w:r>
        <w:rPr>
          <w:rFonts w:hAnsi="宋体" w:eastAsia="宋体"/>
          <w:sz w:val="24"/>
          <w:szCs w:val="24"/>
        </w:rPr>
        <w:t>合同法》有关条文执行。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12"/>
        <w:spacing w:before="120" w:after="120" w:line="330" w:lineRule="atLeast"/>
        <w:ind w:firstLine="480" w:firstLineChars="200"/>
        <w:rPr>
          <w:rFonts w:hAnsi="宋体" w:eastAsia="宋体"/>
          <w:sz w:val="28"/>
          <w:szCs w:val="28"/>
        </w:rPr>
      </w:pPr>
      <w:r>
        <w:rPr>
          <w:rFonts w:hAnsi="宋体" w:eastAsia="宋体"/>
          <w:sz w:val="24"/>
          <w:szCs w:val="24"/>
        </w:rPr>
        <w:t xml:space="preserve">12.4 </w:t>
      </w:r>
      <w:r>
        <w:rPr>
          <w:rFonts w:hint="eastAsia" w:hAnsi="宋体" w:eastAsia="宋体"/>
          <w:sz w:val="24"/>
          <w:szCs w:val="24"/>
        </w:rPr>
        <w:t>其他：。</w:t>
      </w:r>
    </w:p>
    <w:p>
      <w:pPr>
        <w:pStyle w:val="12"/>
        <w:spacing w:before="120" w:after="120" w:line="330" w:lineRule="atLeas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2"/>
        <w:spacing w:before="120" w:after="120" w:line="330" w:lineRule="atLeas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2"/>
        <w:spacing w:before="120" w:after="120" w:line="330" w:lineRule="atLeas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2"/>
        <w:spacing w:before="120" w:after="120" w:line="330" w:lineRule="atLeast"/>
        <w:rPr>
          <w:rFonts w:hAnsi="宋体" w:eastAsia="宋体"/>
          <w:sz w:val="24"/>
          <w:szCs w:val="28"/>
        </w:rPr>
      </w:pPr>
      <w:r>
        <w:rPr>
          <w:rFonts w:hint="eastAsia" w:hAnsi="宋体" w:eastAsia="宋体"/>
          <w:sz w:val="24"/>
          <w:szCs w:val="28"/>
        </w:rPr>
        <w:t>联系电话：                                  联系电话：</w:t>
      </w:r>
    </w:p>
    <w:p>
      <w:pPr>
        <w:pStyle w:val="19"/>
        <w:ind w:firstLine="0" w:firstLineChars="0"/>
      </w:pPr>
    </w:p>
    <w:p>
      <w:pPr>
        <w:pStyle w:val="28"/>
        <w:ind w:firstLine="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ascii="宋体" w:hAnsi="宋体"/>
      </w:rPr>
    </w:pPr>
    <w:r>
      <w:rPr>
        <w:rFonts w:ascii="宋体" w:hAnsi="宋体"/>
      </w:rPr>
      <w:fldChar w:fldCharType="begin"/>
    </w:r>
    <w:r>
      <w:rPr>
        <w:rStyle w:val="22"/>
        <w:rFonts w:ascii="宋体" w:hAnsi="宋体"/>
      </w:rPr>
      <w:instrText xml:space="preserve">PAGE  </w:instrText>
    </w:r>
    <w:r>
      <w:rPr>
        <w:rFonts w:ascii="宋体" w:hAnsi="宋体"/>
      </w:rPr>
      <w:fldChar w:fldCharType="separate"/>
    </w:r>
    <w:r>
      <w:rPr>
        <w:rStyle w:val="22"/>
        <w:rFonts w:ascii="宋体" w:hAnsi="宋体"/>
      </w:rPr>
      <w:t>20</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47"/>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21411B4"/>
    <w:multiLevelType w:val="singleLevel"/>
    <w:tmpl w:val="021411B4"/>
    <w:lvl w:ilvl="0" w:tentative="0">
      <w:start w:val="1"/>
      <w:numFmt w:val="chineseCounting"/>
      <w:suff w:val="nothing"/>
      <w:lvlText w:val="%1、"/>
      <w:lvlJc w:val="left"/>
      <w:rPr>
        <w:rFonts w:hint="eastAsia"/>
      </w:rPr>
    </w:lvl>
  </w:abstractNum>
  <w:abstractNum w:abstractNumId="2">
    <w:nsid w:val="5C7E0EE5"/>
    <w:multiLevelType w:val="multilevel"/>
    <w:tmpl w:val="5C7E0EE5"/>
    <w:lvl w:ilvl="0" w:tentative="0">
      <w:start w:val="1"/>
      <w:numFmt w:val="chineseCountingThousand"/>
      <w:pStyle w:val="3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3A5A818"/>
    <w:multiLevelType w:val="singleLevel"/>
    <w:tmpl w:val="63A5A818"/>
    <w:lvl w:ilvl="0" w:tentative="0">
      <w:start w:val="2"/>
      <w:numFmt w:val="decimal"/>
      <w:suff w:val="nothing"/>
      <w:lvlText w:val="（%1）"/>
      <w:lvlJc w:val="left"/>
    </w:lvl>
  </w:abstractNum>
  <w:abstractNum w:abstractNumId="4">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D31D50"/>
    <w:rsid w:val="00026CA5"/>
    <w:rsid w:val="00033912"/>
    <w:rsid w:val="000458DB"/>
    <w:rsid w:val="000508AB"/>
    <w:rsid w:val="00050D10"/>
    <w:rsid w:val="0005267F"/>
    <w:rsid w:val="00053D8C"/>
    <w:rsid w:val="0008466D"/>
    <w:rsid w:val="0009546A"/>
    <w:rsid w:val="000B08EC"/>
    <w:rsid w:val="000B0E83"/>
    <w:rsid w:val="000B538B"/>
    <w:rsid w:val="000D0163"/>
    <w:rsid w:val="00101A8A"/>
    <w:rsid w:val="001225B3"/>
    <w:rsid w:val="00124A3C"/>
    <w:rsid w:val="00141840"/>
    <w:rsid w:val="0016026B"/>
    <w:rsid w:val="00160DBD"/>
    <w:rsid w:val="00167738"/>
    <w:rsid w:val="0018443B"/>
    <w:rsid w:val="001925D7"/>
    <w:rsid w:val="001929A5"/>
    <w:rsid w:val="001A049C"/>
    <w:rsid w:val="001B6A78"/>
    <w:rsid w:val="001C20DD"/>
    <w:rsid w:val="001C4B26"/>
    <w:rsid w:val="001D0768"/>
    <w:rsid w:val="001E4020"/>
    <w:rsid w:val="001E699E"/>
    <w:rsid w:val="001F4F63"/>
    <w:rsid w:val="0020432E"/>
    <w:rsid w:val="002070F5"/>
    <w:rsid w:val="00215C58"/>
    <w:rsid w:val="00232127"/>
    <w:rsid w:val="002327D4"/>
    <w:rsid w:val="00272CB4"/>
    <w:rsid w:val="002B2FBB"/>
    <w:rsid w:val="002D2055"/>
    <w:rsid w:val="002E26AA"/>
    <w:rsid w:val="00300F88"/>
    <w:rsid w:val="00323B43"/>
    <w:rsid w:val="00327947"/>
    <w:rsid w:val="00347E27"/>
    <w:rsid w:val="0036460C"/>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0D18"/>
    <w:rsid w:val="004358AB"/>
    <w:rsid w:val="0043654C"/>
    <w:rsid w:val="0044705E"/>
    <w:rsid w:val="004808C6"/>
    <w:rsid w:val="004A4F2D"/>
    <w:rsid w:val="004E3402"/>
    <w:rsid w:val="004F5C9E"/>
    <w:rsid w:val="005059E0"/>
    <w:rsid w:val="005129DB"/>
    <w:rsid w:val="00542987"/>
    <w:rsid w:val="00582977"/>
    <w:rsid w:val="005866DD"/>
    <w:rsid w:val="00590D7C"/>
    <w:rsid w:val="005A5F50"/>
    <w:rsid w:val="005B00B9"/>
    <w:rsid w:val="005B44B4"/>
    <w:rsid w:val="0060453F"/>
    <w:rsid w:val="006045FD"/>
    <w:rsid w:val="006411FE"/>
    <w:rsid w:val="00657B2C"/>
    <w:rsid w:val="00663D89"/>
    <w:rsid w:val="00681F07"/>
    <w:rsid w:val="006A096A"/>
    <w:rsid w:val="006A112C"/>
    <w:rsid w:val="006C6B1D"/>
    <w:rsid w:val="00710E53"/>
    <w:rsid w:val="0071106B"/>
    <w:rsid w:val="007178CD"/>
    <w:rsid w:val="00725153"/>
    <w:rsid w:val="00747556"/>
    <w:rsid w:val="00792482"/>
    <w:rsid w:val="0079316D"/>
    <w:rsid w:val="007947E9"/>
    <w:rsid w:val="007A58F8"/>
    <w:rsid w:val="007F18E6"/>
    <w:rsid w:val="007F226B"/>
    <w:rsid w:val="00801927"/>
    <w:rsid w:val="00830E76"/>
    <w:rsid w:val="00840EB9"/>
    <w:rsid w:val="00841379"/>
    <w:rsid w:val="0085068C"/>
    <w:rsid w:val="008545FA"/>
    <w:rsid w:val="008940B1"/>
    <w:rsid w:val="008B1021"/>
    <w:rsid w:val="008B154E"/>
    <w:rsid w:val="008B1FF5"/>
    <w:rsid w:val="008B7726"/>
    <w:rsid w:val="008F5952"/>
    <w:rsid w:val="008F6FC4"/>
    <w:rsid w:val="008F7663"/>
    <w:rsid w:val="00901E4A"/>
    <w:rsid w:val="00914B43"/>
    <w:rsid w:val="00917C9A"/>
    <w:rsid w:val="009330FF"/>
    <w:rsid w:val="00937A6C"/>
    <w:rsid w:val="009404EF"/>
    <w:rsid w:val="00954E6B"/>
    <w:rsid w:val="009569A2"/>
    <w:rsid w:val="00985BBC"/>
    <w:rsid w:val="0099642C"/>
    <w:rsid w:val="009B4528"/>
    <w:rsid w:val="009D140B"/>
    <w:rsid w:val="009E1102"/>
    <w:rsid w:val="009E4FC4"/>
    <w:rsid w:val="009E5541"/>
    <w:rsid w:val="00A02CA7"/>
    <w:rsid w:val="00A118A9"/>
    <w:rsid w:val="00A478D2"/>
    <w:rsid w:val="00A67624"/>
    <w:rsid w:val="00A719C8"/>
    <w:rsid w:val="00A754E0"/>
    <w:rsid w:val="00AA278C"/>
    <w:rsid w:val="00AB3CFF"/>
    <w:rsid w:val="00AC2325"/>
    <w:rsid w:val="00AC3CE4"/>
    <w:rsid w:val="00AD6515"/>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A5C"/>
    <w:rsid w:val="00BD2AED"/>
    <w:rsid w:val="00BD6A49"/>
    <w:rsid w:val="00BD77ED"/>
    <w:rsid w:val="00BE0391"/>
    <w:rsid w:val="00BE7284"/>
    <w:rsid w:val="00BF3F02"/>
    <w:rsid w:val="00C13584"/>
    <w:rsid w:val="00C30C20"/>
    <w:rsid w:val="00C40E65"/>
    <w:rsid w:val="00C541CB"/>
    <w:rsid w:val="00C55166"/>
    <w:rsid w:val="00C67970"/>
    <w:rsid w:val="00C72ECF"/>
    <w:rsid w:val="00C76558"/>
    <w:rsid w:val="00C86FD4"/>
    <w:rsid w:val="00CC574A"/>
    <w:rsid w:val="00D278D7"/>
    <w:rsid w:val="00D31D50"/>
    <w:rsid w:val="00D53633"/>
    <w:rsid w:val="00D55D24"/>
    <w:rsid w:val="00D56CB6"/>
    <w:rsid w:val="00D61AE7"/>
    <w:rsid w:val="00D634CC"/>
    <w:rsid w:val="00D9005C"/>
    <w:rsid w:val="00DA1746"/>
    <w:rsid w:val="00DA4334"/>
    <w:rsid w:val="00DB5FD8"/>
    <w:rsid w:val="00DD78D1"/>
    <w:rsid w:val="00DE05FA"/>
    <w:rsid w:val="00DE421A"/>
    <w:rsid w:val="00DF12D7"/>
    <w:rsid w:val="00E011DE"/>
    <w:rsid w:val="00E14FB9"/>
    <w:rsid w:val="00E31BD3"/>
    <w:rsid w:val="00E34600"/>
    <w:rsid w:val="00E52BFB"/>
    <w:rsid w:val="00E7796D"/>
    <w:rsid w:val="00E81B75"/>
    <w:rsid w:val="00EB187E"/>
    <w:rsid w:val="00F04061"/>
    <w:rsid w:val="00F14151"/>
    <w:rsid w:val="00F26612"/>
    <w:rsid w:val="00F30A36"/>
    <w:rsid w:val="00F4455E"/>
    <w:rsid w:val="00F5231B"/>
    <w:rsid w:val="00F55C6C"/>
    <w:rsid w:val="00F94053"/>
    <w:rsid w:val="00FA4F5F"/>
    <w:rsid w:val="00FB608D"/>
    <w:rsid w:val="00FD4A32"/>
    <w:rsid w:val="00FF44F0"/>
    <w:rsid w:val="00FF7A26"/>
    <w:rsid w:val="013F017A"/>
    <w:rsid w:val="08137017"/>
    <w:rsid w:val="0AA26D90"/>
    <w:rsid w:val="11660B07"/>
    <w:rsid w:val="1A6E1AC6"/>
    <w:rsid w:val="1EDD4D38"/>
    <w:rsid w:val="1FD45B0E"/>
    <w:rsid w:val="23457BEE"/>
    <w:rsid w:val="26396471"/>
    <w:rsid w:val="2A426494"/>
    <w:rsid w:val="2B3D38EA"/>
    <w:rsid w:val="2E64028C"/>
    <w:rsid w:val="30CA3C63"/>
    <w:rsid w:val="371669D8"/>
    <w:rsid w:val="391B19E2"/>
    <w:rsid w:val="3BF426EE"/>
    <w:rsid w:val="3EB20F1F"/>
    <w:rsid w:val="3FDB4F42"/>
    <w:rsid w:val="4CCB7C2E"/>
    <w:rsid w:val="57194839"/>
    <w:rsid w:val="58E36743"/>
    <w:rsid w:val="5A072AAB"/>
    <w:rsid w:val="5E990205"/>
    <w:rsid w:val="63BD45E1"/>
    <w:rsid w:val="69446BCD"/>
    <w:rsid w:val="69B71F24"/>
    <w:rsid w:val="6A4D6CA5"/>
    <w:rsid w:val="6CCF085E"/>
    <w:rsid w:val="6CDA414F"/>
    <w:rsid w:val="6DF36786"/>
    <w:rsid w:val="6F8D3F7D"/>
    <w:rsid w:val="70F16A74"/>
    <w:rsid w:val="71581491"/>
    <w:rsid w:val="72F72576"/>
    <w:rsid w:val="73245490"/>
    <w:rsid w:val="74AB629B"/>
    <w:rsid w:val="762D3933"/>
    <w:rsid w:val="76487C82"/>
    <w:rsid w:val="77B42785"/>
    <w:rsid w:val="786B40D1"/>
    <w:rsid w:val="7A4F1C83"/>
    <w:rsid w:val="7C0E40F6"/>
    <w:rsid w:val="7C4D1479"/>
    <w:rsid w:val="7D8A3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6"/>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29"/>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1"/>
    <w:link w:val="30"/>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cs="Times New Roman"/>
    </w:rPr>
  </w:style>
  <w:style w:type="paragraph" w:styleId="6">
    <w:name w:val="Normal Indent"/>
    <w:basedOn w:val="1"/>
    <w:link w:val="35"/>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semiHidden/>
    <w:qFormat/>
    <w:uiPriority w:val="99"/>
    <w:rPr>
      <w:rFonts w:eastAsiaTheme="minorEastAsia"/>
      <w:kern w:val="2"/>
      <w:sz w:val="21"/>
      <w14:ligatures w14:val="standardContextual"/>
    </w:rPr>
  </w:style>
  <w:style w:type="paragraph" w:styleId="9">
    <w:name w:val="Body Text"/>
    <w:basedOn w:val="1"/>
    <w:link w:val="45"/>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qFormat/>
    <w:uiPriority w:val="0"/>
    <w:pPr>
      <w:spacing w:line="440" w:lineRule="exact"/>
      <w:ind w:firstLine="403" w:firstLineChars="192"/>
    </w:pPr>
    <w:rPr>
      <w:rFonts w:ascii="宋体" w:hAnsi="宋体" w:eastAsia="宋体" w:cs="宋体"/>
      <w:szCs w:val="21"/>
    </w:rPr>
  </w:style>
  <w:style w:type="paragraph" w:styleId="11">
    <w:name w:val="envelope return"/>
    <w:basedOn w:val="1"/>
    <w:qFormat/>
    <w:uiPriority w:val="0"/>
    <w:rPr>
      <w:rFonts w:ascii="Arial" w:hAnsi="Arial"/>
    </w:rPr>
  </w:style>
  <w:style w:type="paragraph" w:styleId="12">
    <w:name w:val="Plain Text"/>
    <w:basedOn w:val="1"/>
    <w:link w:val="39"/>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46"/>
    <w:semiHidden/>
    <w:unhideWhenUsed/>
    <w:qFormat/>
    <w:uiPriority w:val="99"/>
    <w:pPr>
      <w:spacing w:after="0"/>
    </w:pPr>
    <w:rPr>
      <w:sz w:val="18"/>
      <w:szCs w:val="18"/>
    </w:rPr>
  </w:style>
  <w:style w:type="paragraph" w:styleId="14">
    <w:name w:val="footer"/>
    <w:basedOn w:val="1"/>
    <w:link w:val="25"/>
    <w:unhideWhenUsed/>
    <w:qFormat/>
    <w:uiPriority w:val="99"/>
    <w:pPr>
      <w:tabs>
        <w:tab w:val="center" w:pos="4153"/>
        <w:tab w:val="right" w:pos="8306"/>
      </w:tabs>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7">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8">
    <w:name w:val="Title"/>
    <w:basedOn w:val="1"/>
    <w:next w:val="1"/>
    <w:link w:val="36"/>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2"/>
    <w:basedOn w:val="10"/>
    <w:next w:val="1"/>
    <w:qFormat/>
    <w:uiPriority w:val="99"/>
    <w:pPr>
      <w:widowControl w:val="0"/>
      <w:ind w:firstLine="420" w:firstLineChars="200"/>
      <w:jc w:val="both"/>
    </w:pPr>
    <w:rPr>
      <w:rFonts w:ascii="Calibri" w:hAnsi="Calibri" w:cs="Calibri"/>
      <w:kern w:val="2"/>
      <w:sz w:val="21"/>
    </w:rPr>
  </w:style>
  <w:style w:type="character" w:styleId="22">
    <w:name w:val="page number"/>
    <w:basedOn w:val="21"/>
    <w:qFormat/>
    <w:uiPriority w:val="0"/>
  </w:style>
  <w:style w:type="character" w:styleId="23">
    <w:name w:val="Hyperlink"/>
    <w:qFormat/>
    <w:uiPriority w:val="99"/>
    <w:rPr>
      <w:color w:val="0000FF"/>
      <w:u w:val="single"/>
    </w:rPr>
  </w:style>
  <w:style w:type="character" w:customStyle="1" w:styleId="24">
    <w:name w:val="页眉 Char"/>
    <w:basedOn w:val="21"/>
    <w:link w:val="15"/>
    <w:qFormat/>
    <w:uiPriority w:val="99"/>
    <w:rPr>
      <w:rFonts w:ascii="Tahoma" w:hAnsi="Tahoma"/>
      <w:sz w:val="18"/>
      <w:szCs w:val="18"/>
    </w:rPr>
  </w:style>
  <w:style w:type="character" w:customStyle="1" w:styleId="25">
    <w:name w:val="页脚 Char"/>
    <w:basedOn w:val="21"/>
    <w:link w:val="14"/>
    <w:qFormat/>
    <w:uiPriority w:val="99"/>
    <w:rPr>
      <w:rFonts w:ascii="Tahoma" w:hAnsi="Tahoma"/>
      <w:sz w:val="18"/>
      <w:szCs w:val="18"/>
    </w:rPr>
  </w:style>
  <w:style w:type="character" w:customStyle="1" w:styleId="26">
    <w:name w:val="标题 1 Char"/>
    <w:basedOn w:val="21"/>
    <w:link w:val="3"/>
    <w:qFormat/>
    <w:uiPriority w:val="9"/>
    <w:rPr>
      <w:rFonts w:ascii="楷体_GB2312" w:hAnsi="Times New Roman" w:eastAsia="楷体_GB2312" w:cs="Times New Roman"/>
      <w:kern w:val="2"/>
      <w:sz w:val="28"/>
      <w:szCs w:val="28"/>
    </w:rPr>
  </w:style>
  <w:style w:type="paragraph" w:customStyle="1" w:styleId="2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8">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9">
    <w:name w:val="标题 3 Char"/>
    <w:basedOn w:val="21"/>
    <w:link w:val="5"/>
    <w:qFormat/>
    <w:uiPriority w:val="0"/>
    <w:rPr>
      <w:rFonts w:ascii="Times New Roman" w:hAnsi="Times New Roman" w:eastAsia="宋体" w:cs="Times New Roman"/>
      <w:b/>
      <w:bCs/>
      <w:kern w:val="2"/>
      <w:sz w:val="32"/>
      <w:szCs w:val="32"/>
    </w:rPr>
  </w:style>
  <w:style w:type="character" w:customStyle="1" w:styleId="30">
    <w:name w:val="标题 4 Char"/>
    <w:basedOn w:val="21"/>
    <w:link w:val="7"/>
    <w:qFormat/>
    <w:uiPriority w:val="9"/>
    <w:rPr>
      <w:rFonts w:ascii="Arial" w:hAnsi="Arial" w:eastAsia="黑体" w:cs="Arial"/>
      <w:b/>
      <w:bCs/>
      <w:kern w:val="2"/>
      <w:sz w:val="28"/>
      <w:szCs w:val="28"/>
    </w:rPr>
  </w:style>
  <w:style w:type="character" w:customStyle="1" w:styleId="31">
    <w:name w:val="标题 Char1"/>
    <w:basedOn w:val="21"/>
    <w:qFormat/>
    <w:uiPriority w:val="0"/>
    <w:rPr>
      <w:rFonts w:ascii="Cambria" w:hAnsi="Cambria"/>
      <w:b/>
      <w:bCs/>
      <w:kern w:val="2"/>
      <w:sz w:val="32"/>
      <w:szCs w:val="32"/>
    </w:rPr>
  </w:style>
  <w:style w:type="character" w:customStyle="1" w:styleId="32">
    <w:name w:val="标题二 Char"/>
    <w:link w:val="33"/>
    <w:qFormat/>
    <w:uiPriority w:val="0"/>
    <w:rPr>
      <w:rFonts w:ascii="宋体" w:hAnsi="宋体" w:cs="Calibri"/>
      <w:b/>
      <w:color w:val="000000"/>
      <w:kern w:val="1"/>
      <w:sz w:val="28"/>
      <w:szCs w:val="28"/>
    </w:rPr>
  </w:style>
  <w:style w:type="paragraph" w:customStyle="1" w:styleId="33">
    <w:name w:val="标题二"/>
    <w:basedOn w:val="34"/>
    <w:link w:val="3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4">
    <w:name w:val="List Paragraph"/>
    <w:basedOn w:val="1"/>
    <w:qFormat/>
    <w:uiPriority w:val="34"/>
    <w:pPr>
      <w:ind w:firstLine="420" w:firstLineChars="200"/>
    </w:pPr>
  </w:style>
  <w:style w:type="character" w:customStyle="1" w:styleId="35">
    <w:name w:val="正文缩进 Char"/>
    <w:link w:val="6"/>
    <w:qFormat/>
    <w:uiPriority w:val="0"/>
    <w:rPr>
      <w:kern w:val="2"/>
      <w:sz w:val="21"/>
      <w:szCs w:val="21"/>
    </w:rPr>
  </w:style>
  <w:style w:type="character" w:customStyle="1" w:styleId="36">
    <w:name w:val="标题 Char"/>
    <w:basedOn w:val="21"/>
    <w:link w:val="18"/>
    <w:qFormat/>
    <w:uiPriority w:val="10"/>
    <w:rPr>
      <w:rFonts w:eastAsia="宋体" w:asciiTheme="majorHAnsi" w:hAnsiTheme="majorHAnsi" w:cstheme="majorBidi"/>
      <w:b/>
      <w:bCs/>
      <w:sz w:val="32"/>
      <w:szCs w:val="32"/>
    </w:rPr>
  </w:style>
  <w:style w:type="character" w:customStyle="1" w:styleId="37">
    <w:name w:val="font1"/>
    <w:qFormat/>
    <w:uiPriority w:val="0"/>
    <w:rPr>
      <w:color w:val="333333"/>
      <w:spacing w:val="450"/>
      <w:sz w:val="18"/>
      <w:szCs w:val="18"/>
      <w:u w:val="none"/>
    </w:rPr>
  </w:style>
  <w:style w:type="character" w:customStyle="1" w:styleId="38">
    <w:name w:val="纯文本 Char"/>
    <w:qFormat/>
    <w:uiPriority w:val="0"/>
    <w:rPr>
      <w:rFonts w:ascii="宋体" w:hAnsi="Courier New" w:cs="Courier New"/>
      <w:kern w:val="2"/>
      <w:sz w:val="21"/>
      <w:szCs w:val="21"/>
    </w:rPr>
  </w:style>
  <w:style w:type="character" w:customStyle="1" w:styleId="39">
    <w:name w:val="纯文本 Char1"/>
    <w:basedOn w:val="21"/>
    <w:link w:val="12"/>
    <w:semiHidden/>
    <w:qFormat/>
    <w:uiPriority w:val="99"/>
    <w:rPr>
      <w:rFonts w:ascii="宋体" w:hAnsi="Courier New" w:eastAsia="宋体" w:cs="Courier New"/>
      <w:sz w:val="21"/>
      <w:szCs w:val="21"/>
    </w:rPr>
  </w:style>
  <w:style w:type="character" w:customStyle="1" w:styleId="40">
    <w:name w:val="标题 2 Char"/>
    <w:basedOn w:val="21"/>
    <w:link w:val="4"/>
    <w:semiHidden/>
    <w:qFormat/>
    <w:uiPriority w:val="9"/>
    <w:rPr>
      <w:rFonts w:asciiTheme="majorHAnsi" w:hAnsiTheme="majorHAnsi" w:eastAsiaTheme="majorEastAsia" w:cstheme="majorBidi"/>
      <w:b/>
      <w:bCs/>
      <w:sz w:val="32"/>
      <w:szCs w:val="32"/>
    </w:rPr>
  </w:style>
  <w:style w:type="character" w:customStyle="1" w:styleId="41">
    <w:name w:val="正文文本 Char"/>
    <w:qFormat/>
    <w:uiPriority w:val="0"/>
    <w:rPr>
      <w:rFonts w:ascii="楷体_GB2312" w:hAnsi="Arial" w:eastAsia="楷体_GB2312"/>
      <w:kern w:val="2"/>
      <w:sz w:val="28"/>
      <w:szCs w:val="28"/>
    </w:rPr>
  </w:style>
  <w:style w:type="character" w:customStyle="1" w:styleId="42">
    <w:name w:val="列出段落 Char"/>
    <w:link w:val="43"/>
    <w:qFormat/>
    <w:locked/>
    <w:uiPriority w:val="34"/>
    <w:rPr>
      <w:rFonts w:ascii="Calibri" w:hAnsi="Calibri"/>
      <w:sz w:val="24"/>
      <w:szCs w:val="24"/>
      <w:lang w:eastAsia="en-US" w:bidi="en-US"/>
    </w:rPr>
  </w:style>
  <w:style w:type="paragraph" w:customStyle="1" w:styleId="43">
    <w:name w:val="列出段落11"/>
    <w:basedOn w:val="1"/>
    <w:link w:val="42"/>
    <w:qFormat/>
    <w:uiPriority w:val="34"/>
    <w:pPr>
      <w:adjustRightInd/>
      <w:snapToGrid/>
      <w:spacing w:after="0"/>
      <w:ind w:left="720"/>
      <w:contextualSpacing/>
    </w:pPr>
    <w:rPr>
      <w:rFonts w:ascii="Calibri" w:hAnsi="Calibri"/>
      <w:sz w:val="24"/>
      <w:szCs w:val="24"/>
      <w:lang w:eastAsia="en-US" w:bidi="en-US"/>
    </w:rPr>
  </w:style>
  <w:style w:type="paragraph" w:customStyle="1" w:styleId="44">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5">
    <w:name w:val="正文文本 Char1"/>
    <w:basedOn w:val="21"/>
    <w:link w:val="9"/>
    <w:semiHidden/>
    <w:qFormat/>
    <w:uiPriority w:val="99"/>
    <w:rPr>
      <w:rFonts w:ascii="Tahoma" w:hAnsi="Tahoma"/>
    </w:rPr>
  </w:style>
  <w:style w:type="character" w:customStyle="1" w:styleId="46">
    <w:name w:val="批注框文本 Char"/>
    <w:basedOn w:val="21"/>
    <w:link w:val="13"/>
    <w:semiHidden/>
    <w:qFormat/>
    <w:uiPriority w:val="99"/>
    <w:rPr>
      <w:rFonts w:ascii="Tahoma" w:hAnsi="Tahoma"/>
      <w:sz w:val="18"/>
      <w:szCs w:val="18"/>
    </w:rPr>
  </w:style>
  <w:style w:type="paragraph" w:customStyle="1" w:styleId="47">
    <w:name w:val="二级目录"/>
    <w:next w:val="1"/>
    <w:qFormat/>
    <w:uiPriority w:val="99"/>
    <w:pPr>
      <w:numPr>
        <w:ilvl w:val="0"/>
        <w:numId w:val="2"/>
      </w:numPr>
      <w:outlineLvl w:val="1"/>
    </w:pPr>
    <w:rPr>
      <w:rFonts w:ascii="Times New Roman" w:hAnsi="Times New Roman" w:eastAsia="仿宋"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2F859F-BF38-476A-9B71-6415C2852DE3}">
  <ds:schemaRefs/>
</ds:datastoreItem>
</file>

<file path=docProps/app.xml><?xml version="1.0" encoding="utf-8"?>
<Properties xmlns="http://schemas.openxmlformats.org/officeDocument/2006/extended-properties" xmlns:vt="http://schemas.openxmlformats.org/officeDocument/2006/docPropsVTypes">
  <Template>Normal</Template>
  <Pages>32</Pages>
  <Words>2330</Words>
  <Characters>13284</Characters>
  <Lines>110</Lines>
  <Paragraphs>31</Paragraphs>
  <TotalTime>5</TotalTime>
  <ScaleCrop>false</ScaleCrop>
  <LinksUpToDate>false</LinksUpToDate>
  <CharactersWithSpaces>15583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2023-11-07T03:17:00Z</dcterms:created>
  <dc:creator>admin</dc:creator>
  <cp:lastModifiedBy>admin</cp:lastModifiedBy>
  <dcterms:modified xsi:type="dcterms:W3CDTF">2023-11-13T08:21:50Z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267785A2C033473980CC7C7C6D4F77F4_13</vt:lpwstr>
  </property>
</Properties>
</file>