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left="1606" w:hanging="1606" w:hangingChars="500"/>
        <w:jc w:val="both"/>
        <w:rPr>
          <w:b/>
          <w:bCs/>
          <w:sz w:val="32"/>
        </w:rPr>
      </w:pPr>
      <w:r>
        <w:rPr>
          <w:rFonts w:hint="eastAsia"/>
          <w:b/>
          <w:bCs/>
          <w:sz w:val="32"/>
        </w:rPr>
        <w:t>项目名称：南京医科大学医疗损害赔偿纠纷应对虚拟仿真实验项目</w:t>
      </w:r>
    </w:p>
    <w:p>
      <w:pPr>
        <w:pStyle w:val="28"/>
        <w:ind w:firstLine="0"/>
        <w:jc w:val="both"/>
        <w:rPr>
          <w:b/>
          <w:bCs/>
          <w:sz w:val="32"/>
        </w:rPr>
      </w:pPr>
      <w:r>
        <w:rPr>
          <w:rFonts w:hint="eastAsia"/>
          <w:b/>
          <w:bCs/>
          <w:sz w:val="32"/>
        </w:rPr>
        <w:t>项目编号：</w:t>
      </w:r>
      <w:r>
        <w:rPr>
          <w:b/>
          <w:bCs/>
          <w:sz w:val="32"/>
        </w:rPr>
        <w:t>NJMUZB2242023082</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523127445"/>
      <w:bookmarkStart w:id="4" w:name="_Toc479757206"/>
      <w:bookmarkStart w:id="5" w:name="_Toc16938516"/>
      <w:bookmarkStart w:id="6" w:name="_Toc20823272"/>
      <w:r>
        <w:rPr>
          <w:rFonts w:hint="eastAsia" w:ascii="黑体" w:hAnsi="黑体" w:eastAsia="黑体"/>
          <w:b/>
          <w:sz w:val="44"/>
          <w:szCs w:val="28"/>
        </w:rPr>
        <w:t>目  录</w:t>
      </w:r>
      <w:bookmarkEnd w:id="0"/>
    </w:p>
    <w:p>
      <w:pPr>
        <w:pStyle w:val="17"/>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color w:val="auto"/>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color w:val="auto"/>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color w:val="auto"/>
          <w:sz w:val="24"/>
        </w:rPr>
        <w:t>第二章</w:t>
      </w:r>
      <w:r>
        <w:rPr>
          <w:rStyle w:val="23"/>
          <w:rFonts w:asciiTheme="majorEastAsia" w:hAnsiTheme="majorEastAsia" w:eastAsiaTheme="majorEastAsia"/>
          <w:color w:val="auto"/>
          <w:sz w:val="24"/>
        </w:rPr>
        <w:t xml:space="preserve"> </w:t>
      </w:r>
      <w:r>
        <w:rPr>
          <w:rStyle w:val="23"/>
          <w:rFonts w:hint="eastAsia" w:asciiTheme="majorEastAsia" w:hAnsiTheme="majorEastAsia" w:eastAsiaTheme="majorEastAsia"/>
          <w:color w:val="auto"/>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color w:val="auto"/>
          <w:sz w:val="24"/>
        </w:rPr>
        <w:t>第三章</w:t>
      </w:r>
      <w:r>
        <w:rPr>
          <w:rStyle w:val="23"/>
          <w:rFonts w:asciiTheme="minorEastAsia" w:hAnsiTheme="minorEastAsia"/>
          <w:color w:val="auto"/>
          <w:sz w:val="24"/>
        </w:rPr>
        <w:t xml:space="preserve"> </w:t>
      </w:r>
      <w:r>
        <w:rPr>
          <w:rStyle w:val="23"/>
          <w:rFonts w:hint="eastAsia" w:asciiTheme="minorEastAsia" w:hAnsiTheme="minorEastAsia"/>
          <w:color w:val="auto"/>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color w:val="auto"/>
          <w:sz w:val="24"/>
        </w:rPr>
        <w:t>第四章</w:t>
      </w:r>
      <w:r>
        <w:rPr>
          <w:rStyle w:val="23"/>
          <w:rFonts w:ascii="宋体" w:hAnsi="宋体"/>
          <w:color w:val="auto"/>
          <w:sz w:val="24"/>
        </w:rPr>
        <w:t xml:space="preserve"> </w:t>
      </w:r>
      <w:r>
        <w:rPr>
          <w:rStyle w:val="23"/>
          <w:rFonts w:hint="eastAsia" w:ascii="宋体" w:hAnsi="宋体"/>
          <w:color w:val="auto"/>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color w:val="auto"/>
          <w:sz w:val="24"/>
        </w:rPr>
        <w:t>第五章</w:t>
      </w:r>
      <w:r>
        <w:rPr>
          <w:rStyle w:val="23"/>
          <w:rFonts w:ascii="宋体" w:hAnsi="宋体"/>
          <w:color w:val="auto"/>
          <w:sz w:val="24"/>
        </w:rPr>
        <w:t xml:space="preserve"> </w:t>
      </w:r>
      <w:r>
        <w:rPr>
          <w:rStyle w:val="23"/>
          <w:rFonts w:hint="eastAsia" w:ascii="宋体" w:hAnsi="宋体"/>
          <w:color w:val="auto"/>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479757207"/>
      <w:bookmarkStart w:id="9" w:name="OLE_LINK1"/>
      <w:bookmarkStart w:id="10" w:name="OLE_LINK2"/>
      <w:bookmarkStart w:id="11" w:name="_Toc120614211"/>
      <w:bookmarkStart w:id="12" w:name="_Toc20823314"/>
      <w:bookmarkStart w:id="13" w:name="_Toc16938558"/>
      <w:bookmarkStart w:id="14" w:name="_Toc444669970"/>
      <w:bookmarkStart w:id="15" w:name="_Toc513029242"/>
      <w:bookmarkStart w:id="16" w:name="_Toc120614221"/>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南京医科大学医疗损害赔偿纠纷应对虚拟仿真实验项目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（一）采购项目名称：南京医科大学医疗损害赔偿纠纷应对虚拟仿真实验项目</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（二）采购项目编号：</w:t>
      </w:r>
      <w:r>
        <w:rPr>
          <w:rFonts w:asciiTheme="minorEastAsia" w:hAnsiTheme="minorEastAsia" w:eastAsiaTheme="minorEastAsia"/>
          <w:sz w:val="24"/>
          <w:szCs w:val="24"/>
        </w:rPr>
        <w:t>NJMUZB2242023082</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140000</w:t>
      </w:r>
      <w:r>
        <w:rPr>
          <w:rFonts w:hint="eastAsia" w:asciiTheme="minorEastAsia" w:hAnsiTheme="minorEastAsia" w:eastAsiaTheme="minorEastAsia"/>
          <w:sz w:val="24"/>
          <w:szCs w:val="24"/>
          <w:lang w:val="en-US" w:eastAsia="zh-CN"/>
        </w:rPr>
        <w:t>元</w:t>
      </w:r>
      <w:bookmarkStart w:id="183" w:name="_GoBack"/>
      <w:bookmarkEnd w:id="183"/>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详见招标文件“第三章 项目需求”</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w:t>
      </w:r>
      <w:r>
        <w:rPr>
          <w:rFonts w:hint="eastAsia" w:ascii="宋体" w:hAnsi="宋体" w:eastAsia="宋体" w:cs="宋体"/>
          <w:sz w:val="24"/>
          <w:szCs w:val="24"/>
        </w:rPr>
        <w:t>2</w:t>
      </w:r>
      <w:r>
        <w:rPr>
          <w:rFonts w:ascii="宋体" w:hAnsi="宋体" w:eastAsia="宋体" w:cs="宋体"/>
          <w:sz w:val="24"/>
          <w:szCs w:val="24"/>
        </w:rPr>
        <w:t>年度审计报告或者</w:t>
      </w:r>
      <w:r>
        <w:rPr>
          <w:rFonts w:hint="eastAsia" w:ascii="宋体" w:hAnsi="宋体" w:eastAsia="宋体" w:cs="宋体"/>
          <w:sz w:val="24"/>
          <w:szCs w:val="24"/>
        </w:rPr>
        <w:t>2023年度任一季度的财务状况报告；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3.依法缴纳税收和社会保障资金的相关材料，提供2</w:t>
      </w:r>
      <w:r>
        <w:rPr>
          <w:rFonts w:ascii="宋体" w:hAnsi="宋体" w:eastAsia="宋体" w:cs="宋体"/>
          <w:sz w:val="24"/>
          <w:szCs w:val="24"/>
        </w:rPr>
        <w:t>02</w:t>
      </w:r>
      <w:r>
        <w:rPr>
          <w:rFonts w:hint="eastAsia" w:ascii="宋体" w:hAnsi="宋体" w:eastAsia="宋体" w:cs="宋体"/>
          <w:sz w:val="24"/>
          <w:szCs w:val="24"/>
        </w:rPr>
        <w:t>3</w:t>
      </w:r>
      <w:r>
        <w:rPr>
          <w:rFonts w:ascii="宋体" w:hAnsi="宋体" w:eastAsia="宋体" w:cs="宋体"/>
          <w:sz w:val="24"/>
          <w:szCs w:val="24"/>
        </w:rPr>
        <w:t>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 12月19 日 9时15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 xml:space="preserve">招标联系人：曾老师       联系电话：13952049768   </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点击“入校申请”。（系统内访问部门：马克思主义学院，人员：曾日红 ，联系方式：13952049768）。</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八、公告发布期限：</w:t>
      </w:r>
      <w:r>
        <w:rPr>
          <w:rFonts w:hint="eastAsia" w:asciiTheme="minorEastAsia" w:hAnsiTheme="minorEastAsia" w:eastAsiaTheme="minorEastAsia"/>
          <w:sz w:val="24"/>
          <w:szCs w:val="24"/>
        </w:rPr>
        <w:t>为采购公告发布之日起五个工作日。</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513029202"/>
      <w:bookmarkStart w:id="20" w:name="_Toc16938518"/>
      <w:bookmarkStart w:id="21" w:name="_Toc120614213"/>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513029203"/>
      <w:bookmarkStart w:id="23" w:name="_Toc20823275"/>
      <w:bookmarkStart w:id="24" w:name="_Toc120614214"/>
      <w:bookmarkStart w:id="25" w:name="_Toc16938519"/>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20823276"/>
      <w:bookmarkStart w:id="29" w:name="_Toc16938520"/>
      <w:bookmarkStart w:id="30" w:name="_Toc513029204"/>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20823277"/>
      <w:bookmarkStart w:id="32" w:name="_Toc513029205"/>
      <w:bookmarkStart w:id="33" w:name="_Toc16938521"/>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513029206"/>
      <w:bookmarkStart w:id="35" w:name="_Toc16938522"/>
      <w:bookmarkStart w:id="36" w:name="_Toc20823278"/>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16938523"/>
      <w:bookmarkStart w:id="38" w:name="_Toc20823279"/>
      <w:bookmarkStart w:id="39" w:name="_Toc513029207"/>
      <w:bookmarkStart w:id="40" w:name="_Toc462564067"/>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16938525"/>
      <w:bookmarkStart w:id="42" w:name="_Toc517190883"/>
      <w:bookmarkStart w:id="43" w:name="_Toc120614215"/>
      <w:bookmarkStart w:id="44" w:name="_Toc513029209"/>
      <w:bookmarkStart w:id="45" w:name="_Toc20823281"/>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513029210"/>
      <w:bookmarkStart w:id="47" w:name="_Toc20823282"/>
      <w:bookmarkStart w:id="48" w:name="_Toc16938526"/>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20823283"/>
      <w:bookmarkStart w:id="50" w:name="_Toc462564070"/>
      <w:bookmarkStart w:id="51" w:name="_Toc16938527"/>
      <w:bookmarkStart w:id="52" w:name="_Toc513029211"/>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16938528"/>
      <w:bookmarkStart w:id="54" w:name="_Toc513029212"/>
      <w:bookmarkStart w:id="55" w:name="_Toc462564071"/>
      <w:bookmarkStart w:id="56" w:name="_Toc20823284"/>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517190884"/>
      <w:bookmarkStart w:id="58" w:name="_Toc513029213"/>
      <w:bookmarkStart w:id="59" w:name="_Toc16938529"/>
      <w:bookmarkStart w:id="60" w:name="_Toc462564072"/>
      <w:bookmarkStart w:id="61" w:name="_Toc120614216"/>
      <w:bookmarkStart w:id="62" w:name="_Toc20823285"/>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16938530"/>
      <w:bookmarkStart w:id="64" w:name="_Toc513029214"/>
      <w:bookmarkStart w:id="65" w:name="_Toc462564073"/>
      <w:bookmarkStart w:id="66" w:name="_Toc20823286"/>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16938531"/>
      <w:bookmarkStart w:id="68" w:name="_Toc462564074"/>
      <w:bookmarkStart w:id="69" w:name="_Toc513029215"/>
      <w:bookmarkStart w:id="70" w:name="_Toc20823287"/>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954838"/>
      <w:bookmarkEnd w:id="71"/>
      <w:bookmarkStart w:id="72" w:name="_Hlt26668975"/>
      <w:bookmarkEnd w:id="72"/>
      <w:bookmarkStart w:id="73" w:name="_Hlt26670360"/>
      <w:bookmarkEnd w:id="73"/>
      <w:bookmarkStart w:id="74" w:name="_Toc14577357"/>
      <w:bookmarkStart w:id="75" w:name="_Toc513029219"/>
      <w:bookmarkStart w:id="76" w:name="_Toc49090509"/>
      <w:bookmarkStart w:id="77" w:name="_Toc49090507"/>
      <w:bookmarkStart w:id="78" w:name="_Toc14577354"/>
      <w:bookmarkStart w:id="79" w:name="_Toc513029216"/>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954842"/>
      <w:bookmarkEnd w:id="86"/>
      <w:bookmarkStart w:id="87" w:name="_Hlt26954844"/>
      <w:bookmarkEnd w:id="87"/>
      <w:bookmarkStart w:id="88" w:name="_Hlt26668983"/>
      <w:bookmarkEnd w:id="88"/>
      <w:bookmarkStart w:id="89" w:name="_Hlt26670425"/>
      <w:bookmarkEnd w:id="89"/>
      <w:bookmarkStart w:id="90" w:name="_Hlt26670403"/>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954731"/>
      <w:bookmarkEnd w:id="91"/>
      <w:bookmarkStart w:id="92" w:name="_Hlt26670486"/>
      <w:bookmarkEnd w:id="92"/>
      <w:bookmarkStart w:id="93" w:name="_Hlt26954846"/>
      <w:bookmarkEnd w:id="93"/>
      <w:bookmarkStart w:id="94" w:name="_Hlt26954848"/>
      <w:bookmarkEnd w:id="94"/>
      <w:bookmarkStart w:id="95" w:name="_Hlt26670482"/>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49090510"/>
      <w:bookmarkStart w:id="97" w:name="_Toc14577359"/>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u w:val="single"/>
        </w:rPr>
      </w:pPr>
      <w:r>
        <w:rPr>
          <w:rFonts w:hint="eastAsia" w:ascii="宋体" w:hAnsi="宋体" w:cs="宋体"/>
          <w:bCs/>
        </w:rPr>
        <w:t>15.3</w:t>
      </w:r>
      <w:r>
        <w:rPr>
          <w:rFonts w:hint="eastAsia" w:ascii="宋体" w:hAnsi="宋体" w:cs="宋体"/>
        </w:rPr>
        <w:t xml:space="preserve"> </w:t>
      </w:r>
      <w:r>
        <w:rPr>
          <w:rFonts w:hint="eastAsia" w:ascii="宋体" w:hAnsi="宋体" w:cs="宋体"/>
          <w:i/>
          <w:u w:val="single"/>
        </w:rPr>
        <w:t>开标一览表必须加</w:t>
      </w:r>
      <w:r>
        <w:rPr>
          <w:rFonts w:hint="eastAsia" w:ascii="宋体" w:hAnsi="宋体" w:cs="宋体"/>
          <w:bCs/>
          <w:i/>
          <w:iCs/>
          <w:u w:val="single"/>
        </w:rPr>
        <w:t>盖投标人公章（复印件无效），必须</w:t>
      </w:r>
      <w:r>
        <w:rPr>
          <w:rFonts w:hint="eastAsia" w:ascii="宋体" w:hAnsi="宋体" w:cs="宋体"/>
          <w:i/>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670489"/>
      <w:bookmarkEnd w:id="98"/>
      <w:bookmarkStart w:id="99" w:name="_Hlt26954850"/>
      <w:bookmarkEnd w:id="99"/>
      <w:bookmarkStart w:id="100" w:name="_Hlt26954739"/>
      <w:bookmarkEnd w:id="100"/>
      <w:bookmarkStart w:id="101" w:name="_Hlt26954852"/>
      <w:bookmarkEnd w:id="101"/>
      <w:bookmarkStart w:id="102" w:name="_Hlt26954734"/>
      <w:bookmarkEnd w:id="102"/>
      <w:bookmarkStart w:id="103" w:name="_Toc49090512"/>
      <w:bookmarkStart w:id="104" w:name="_Toc14577361"/>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16938540"/>
      <w:bookmarkStart w:id="106" w:name="_Toc20823296"/>
      <w:bookmarkStart w:id="107" w:name="_Toc517190885"/>
      <w:bookmarkStart w:id="108" w:name="_Toc513029224"/>
      <w:bookmarkStart w:id="109" w:name="_Toc120614217"/>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462564084"/>
      <w:bookmarkStart w:id="111" w:name="_Toc513029225"/>
      <w:bookmarkStart w:id="112" w:name="_Toc20823297"/>
      <w:bookmarkStart w:id="113" w:name="_Toc16938541"/>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513029226"/>
      <w:bookmarkStart w:id="115" w:name="_Toc20823298"/>
      <w:bookmarkStart w:id="116" w:name="_Toc16938542"/>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16938543"/>
      <w:bookmarkStart w:id="118" w:name="_Toc513029227"/>
      <w:bookmarkStart w:id="119" w:name="_Toc20823299"/>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20823300"/>
      <w:bookmarkStart w:id="121" w:name="_Toc16938544"/>
      <w:bookmarkStart w:id="122" w:name="_Toc513029228"/>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513029229"/>
      <w:bookmarkStart w:id="124" w:name="_Toc16938545"/>
      <w:bookmarkStart w:id="125" w:name="_Toc20823301"/>
      <w:bookmarkStart w:id="126" w:name="_Toc120614218"/>
      <w:bookmarkStart w:id="127" w:name="_Toc517190886"/>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16938546"/>
      <w:bookmarkStart w:id="129" w:name="_Toc513029230"/>
      <w:bookmarkStart w:id="130" w:name="_Toc20823302"/>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16938547"/>
      <w:bookmarkStart w:id="132" w:name="_Toc20823303"/>
      <w:bookmarkStart w:id="133" w:name="_Toc513029231"/>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513029232"/>
      <w:bookmarkStart w:id="135" w:name="_Toc16938548"/>
      <w:bookmarkStart w:id="136" w:name="_Toc20823304"/>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20823306"/>
      <w:bookmarkStart w:id="138" w:name="_Toc513029234"/>
      <w:bookmarkStart w:id="139" w:name="_Toc16938550"/>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513029235"/>
      <w:bookmarkStart w:id="141" w:name="_Toc16938551"/>
      <w:bookmarkStart w:id="142" w:name="_Toc20823307"/>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517190887"/>
      <w:bookmarkStart w:id="144" w:name="_Toc120614219"/>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20823310"/>
      <w:bookmarkStart w:id="147" w:name="_Toc16938554"/>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4"/>
      <w:bookmarkStart w:id="149" w:name="OLE_LINK7"/>
      <w:bookmarkStart w:id="150" w:name="OLE_LINK3"/>
      <w:bookmarkStart w:id="151" w:name="OLE_LINK6"/>
      <w:bookmarkStart w:id="152" w:name="OLE_LINK5"/>
      <w:bookmarkStart w:id="153" w:name="OLE_LINK8"/>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120614220"/>
      <w:bookmarkStart w:id="156" w:name="_Toc517190888"/>
      <w:bookmarkStart w:id="157" w:name="_Toc16938552"/>
      <w:bookmarkStart w:id="158" w:name="_Toc20823308"/>
      <w:bookmarkStart w:id="159" w:name="_Toc513029236"/>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16938553"/>
      <w:bookmarkStart w:id="161" w:name="_Toc513029237"/>
      <w:bookmarkStart w:id="162" w:name="_Toc20823309"/>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4"/>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一、参数要求</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▲1、本项目采用B/S架构（Browser/Server，浏览器/服务器），用户通过浏览器来访问虚拟仿真项目，少部分事务逻辑在Web前端实现，主要事务逻辑在服务器端(Server)实现，形成三层3-tier结构。</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虚拟仿真项目部署于学校服务器上，校内用户通过校园网访问，校外用户通过Internet访问，服务端提供学习资源管理、实验报告管理、学习记录、统计报表管理等。</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2、全3D场景，360度自由转换观察角度。系统的3D模型可以交互选中，并在弹出的UI菜单及UI对话框按钮发出虚拟操作指令。</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▲3、三维资源库：实验模型包括患者家里房间、A医院门口广场、医生办公室、胃镜手术室、医院大厅导医台、医院会议室、医院病房，医院资料室、法庭等。</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▲4、建立基于标准操作流程的评估原则，对学员的训练过程进行评估，并给出相应的评估报告。</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5、WebGL快速加载：通过技术优化，实现实时3D场景效果且体积小，达到快速加载的顺畅效果。</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★6、多终端：实验由pc端、web端和手机端组成，web端为完整实验流程，手机端为轻量化、体系化微实验，可用于基础实验线下课程、实验课程拍摄和数字教材。</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★7、微实验课程：手机版虚拟仿真微实验，实验内容须包含对胃的放大、缩小和切分展示。</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▲8、在线设计：软件需提供在线设计功能，使用者可通过软件进行参数设计并根据参数和数学模型，给出相应结果。</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▲9、完成与我校虚拟仿真实验管理平台对接工作，并保证实验教学的正常开展。（对接校级虚拟仿真管理平台，包括登录接口、实验步骤接口、考试成绩接口和实验报告上传接口。）</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10、课程学习：提供视频、讲稿、ppt、电子教材同步便捷切换观看学习，方便学习者依据个人学习习惯进行选择</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★11、学习中实验：在课程学习的资源中，如果该资源关联虚拟仿真实验或教具，系统会提示学习者是否进行实验，达到理论学习与实践学习相互交叉融合的学习效果；</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12、学习中测试：课程学习的资源中，如果该资源关联某测试卷，系统会提示学习者进行测试；</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★13、知识图谱：可查看当前课程和相关课程的知识图谱，以及知识点所关联的知识点及关联关系。通过点击知识点实体，可卡片显示当前知识点对应具体内容（视频或文字）。</w:t>
      </w:r>
    </w:p>
    <w:p>
      <w:pPr>
        <w:pStyle w:val="34"/>
        <w:spacing w:line="360" w:lineRule="auto"/>
        <w:ind w:firstLine="482"/>
        <w:rPr>
          <w:rFonts w:asciiTheme="minorEastAsia" w:hAnsiTheme="minorEastAsia" w:eastAsiaTheme="minorEastAsia"/>
          <w:bCs/>
          <w:sz w:val="24"/>
          <w:szCs w:val="24"/>
        </w:rPr>
      </w:pPr>
      <w:r>
        <w:rPr>
          <w:rFonts w:hint="eastAsia" w:asciiTheme="minorEastAsia" w:hAnsiTheme="minorEastAsia" w:eastAsiaTheme="minorEastAsia"/>
          <w:b/>
          <w:bCs/>
          <w:sz w:val="24"/>
          <w:szCs w:val="24"/>
        </w:rPr>
        <w:t>二、内容要求</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（一）实验背景</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众所周知，医生和患者本是同一战壕的盟友，其共同的目标是战胜疾病，恢复身体健康。近年来医患纠纷日益增多，医患矛盾成为我国社会现有的长期存在而又难以化解的重要社会矛盾之一。医学生作为医生的贮备力量，如何在当前的医患关系大背景下，具有针对性的对医学生开展防范医患纠纷能力的培养具有十分重要的社会意义。本项目以从解决医患纠纷角度来阐述法律人文精神的培养、思政教育的重要性。</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1、让学生了解医疗纠纷事件的处理流程及相关知识</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2、让学生学习医务人员处理医疗纠纷事件中的工作流程和工作内容</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3、让学生体验医疗纠纷事件从发生到解决完成的全过程</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4、让学生掌握法律专业知识，提升医疗规范安全意识、法律意识</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5、增强学生人文关怀、增强医患沟通能力等</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（二）实验目的</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本实验立足于学生适应现代医学吧和前沿发展的需要，着眼于提高医学及法律学学子的科学素养，构建“知识与技能”、“过程与方法”、“情感、态度、价值观”相融合的课程目标体系。</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虚拟仿真、融媒体、大数据等方式，使学生体验科学研究的过程，激发学习兴趣，强化科学探究的意识，促进学习方式的转变，培养学生的创新精神和实践能力。实现实验教学与信息技术深度融合，改革实践教学理念、实行沉浸式、交互式、协作式，开展自主式、探究式学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沉浸式教学</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保证学员安全的前提下，产生真实环境的沉浸感、紧张感，模拟角色完成并掌握角色对应的任务。使多个学员可以共同学习虚拟课件，在学习过程中，教师可实时查看每个知识点的学员掌握情况，并根据掌握情况适当进行讲解。学员也可在课件学习完成后，自由讨论、总结并完成学习报告。</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交互式教学 </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虚拟仿真项目中，南京医科大学医疗损害赔偿纠纷应对虚拟仿真实验均采用交互式教学。学生通过人机交互的方式，实现边练习、边学习、边调整，错误和不足之处及时得到改正和补充。本项目的交互性还包括在线学习、在线测试评价等环节。</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协作式教学 </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学生可在老师的指导下完成相关操作，进行虚拟实验和学会处理医患纠纷之间的关系，掌握法律知识点。协作式实验对于学生的科学思维、创新意识、团队合作意识和应用实践能力的培养起到重要的作用。能够引导学习者获得感性和理性的认识，在很大程度上满足了学习者的实验要求，因此，协作式学习在虚拟实验中是非常有意义的。 </w:t>
      </w:r>
    </w:p>
    <w:p>
      <w:pPr>
        <w:spacing w:before="120" w:beforeLines="50" w:after="120" w:afterLines="50" w:line="360" w:lineRule="auto"/>
        <w:ind w:firstLine="480" w:firstLineChars="200"/>
        <w:rPr>
          <w:rFonts w:asciiTheme="minorEastAsia" w:hAnsiTheme="minorEastAsia" w:eastAsiaTheme="minorEastAsia"/>
          <w:sz w:val="24"/>
          <w:szCs w:val="24"/>
        </w:rPr>
      </w:pP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（三）设计方案</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1.框架设计</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实验设计原则是在满足虚拟仿真实训系统使用要求的情况下,充分考虑系统的可用性、稳定性、可靠性,同时兼顾系统的先进性、兼容性、可扩展性。实验的总体设计围绕着三个阶段，分别是基础内容，实验操作与分析，以及实验报告与结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阶段是基础内容，是实验前期学生所需要了解的必要环节。在这个阶段，南京医科大学医疗损害赔偿纠纷应对虚拟仿真实验会介绍其实验背景，以剧情知识讲解医患纠纷解决内容。学生需要提前预习了解实验内容和相应知识点。</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阶段是实验操作与分许，是虚拟仿真实验的主体环节，也是项目交互体验的主要环节。南京医科大学医疗损害赔偿纠纷应对虚拟仿真实验用3D技术构建医院场景模型，学生可先了解医疗事故的起因，解决纠纷的流程。初期学生可扮演医生角色进行实验操作。中期学生需要解决医患纠纷，从了解事情起因，医务人员处理过程中的工作流程和工作内容，掌握法律的专业知识，从而提高医疗规范安全意识和法律意识，并同事增加医患沟通能力。</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阶段是实验报告与结论，是实验结果所需记录的保障环节，在软件中学员的操作正确率将被记录本次仿真实验中，后台会根据用户对医患纠纷的决策的正确操作进行得分判断，学员可在实验完成查看自己的得分情况，教师可查看学员的学习情况来调整线下教育的侧重点和进度安排。</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2.内容设计</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（1）首页</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打开南京医科大学医疗损害赔偿纠纷应对虚拟仿真实验，进入软件首页。首页界面增加医患纠纷元素，主题围绕医患纠纷解决应对实验相关的内容进行设计。</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（2）实验背景介绍</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在实验初始阶段，南京医科大学医疗损害赔偿纠纷应对虚拟仿真实验会介绍本次实验的相关背景和事件经过。实验会以视频，图文的形式展示给学生，学生需要提前预习了解实验内容和相应知识点。</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（3）基础知识讲解</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基础知识把医患纠纷的研究资料以及实验中需要考核的知识点以故事剧情的形式呈现在学员面前，重点讲解医疗方处理医患纠纷的相关医务，医疗质量安全核心直度，法庭庭审基本流程，鉴定听证基本流程，医疗损害赔偿法律责任，医疗损害赔偿法定项目等内容。基础知识是设计性实验的基础，要操作实验，只有了解实验的核心知识点，才能真正掌握实验的关键、操作的要点。如果理论需要，还可以附上微课和教师资源，使学员能够快速学习和掌握医患纠纷处理的基础研究。</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（4）实训基地场景</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南京医科大学医疗损害赔偿纠纷应对虚拟仿真实验构建三维实训室内场景，该场景为医院、办公室、病房、法庭等场景。漫游模式下学员以第一视角可参观整个场景，同时用鼠标和键盘操作可移动到场景的任意位置，感受沉浸式体验，实现理论到实践的梯度式学习。操作模式下学生需要根据提示，按步骤完成医患纠纷处理的操作过程，同时在过程中会穿插测验题考核学员的正确率，以此检测学生对上述操作的熟悉与掌握程度。</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（5）决策操作</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南京医科大学医疗损害赔偿纠纷应对虚拟仿真实验构建三维内部场景交互实验。学生将在扮演医疗人员的过程中，与患者家属进行交流，通过与对方交流，可以随时进行做出决策，决策将会决定学生在后续的交流中发生的状况。该模块在操作中需要灵活使用工具进行动画交互，学员可通过文字提示正确操作整个流程，同时还附带测验题考核学员的正确率，以此检测学生对医患纠纷交流的熟悉与掌握程度。</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（6）医患纠纷处理知识的展示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交互场景中设置医患纠纷专业知识的展示，该模块将模型资源，交互资源，剧情资源整合，让学员由浅入深，由理论到实践的梯度式学习，弥补传统图文教学的不足。展示界面主要有目录导航和剧情展示两部分。</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目录导航位于界面一侧，详细列出医患纠纷处理的各个时期，分别为背景介绍、患方损失判断、死因探查、尸检事项告知、医患纠纷解决途径告知事宜、病历复印及病历封存、收到患方起诉状，法院传票等诉讼材料及应诉准备、庭审及宣判结果等。学生可以根据需要任意切换到想要了解进行的时期，随时可以对任意时期的交互流程进行学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（7）实验报告及讨论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员在做完整个虚拟仿真实验后可以通过实验报告查看自己的学习成绩，系统自动统计最近考核成绩情况，并分析错误详情。根据个人的学习进度有计划有目的的调整自己的训练方案，把薄弱的环节弥补上来，做到查漏补缺。学员还可以把实验分析和心得写在报告结尾中，提交上传实验报告。</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实验报告会上传到平台进行得分汇总，学员可以根据自己的模块成绩有目的的训练和掌握指定行内容，老师可以根据统计的数据进行有效分析，并对能力欠缺的学生有针对性的指导和训练，确保每个学生都能达到合格指标。老师分析作答学生的实验结论，提高学生学习积极性。</w:t>
      </w:r>
    </w:p>
    <w:p>
      <w:pPr>
        <w:spacing w:line="360" w:lineRule="auto"/>
        <w:ind w:firstLine="480" w:firstLineChars="200"/>
        <w:rPr>
          <w:rFonts w:asciiTheme="minorEastAsia" w:hAnsiTheme="minorEastAsia" w:eastAsiaTheme="minorEastAsia"/>
          <w:bCs/>
          <w:sz w:val="24"/>
          <w:szCs w:val="24"/>
        </w:rPr>
      </w:pPr>
    </w:p>
    <w:p>
      <w:pPr>
        <w:pStyle w:val="34"/>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三、服务要求</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1、本项目为定制项目，需求除招标文件上要求外，具体业务需求以双方认可签字的系统建设说明书为准进行开发和验收。</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▲2、网页版所有资源最终全部生成可在互联网上直接运行的格式，客户端使用时无须下载或安装任何程序、插件即可直接运行使用。</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▲3、所有资源在开发过程中可根据用户方的具体要求配合开发，用户和中标方当面交流不少于10次，并可以不断完善已建资源内容。</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▲4、项目完成后免费协助南京医科大学申请软件著作权。南京医科大学负责提供申请的商务资料，技术资料均为中标人准备，版权仅属于南京医科大学。</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5、协助南京医科大学完成本项目国家虚拟仿真实验项目申报书编写，以及开发的项目软件在质保期内按省级和国家级示范项目要求免费进行补充、完善和优化。</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6、2024年02月20日前必须交付完成并通过南京医科大学组织的验收。本项目验收前须完成与虚拟仿真校级管理平台对接。</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7、付款方式：合同签订后，乙方向甲方开具发票，甲方自收到发票后15 日内支付合同总价的30%；</w:t>
      </w:r>
      <w:bookmarkStart w:id="165" w:name="_Hlk150448851"/>
      <w:r>
        <w:rPr>
          <w:rFonts w:hint="eastAsia" w:asciiTheme="minorEastAsia" w:hAnsiTheme="minorEastAsia" w:eastAsiaTheme="minorEastAsia"/>
          <w:bCs/>
          <w:sz w:val="24"/>
          <w:szCs w:val="24"/>
        </w:rPr>
        <w:t>项目整体验收合格且正常运行一周后，乙方向甲方开具发票，甲方自收到发票后15日内支付合同总价的70%</w:t>
      </w:r>
      <w:bookmarkEnd w:id="165"/>
      <w:r>
        <w:rPr>
          <w:rFonts w:hint="eastAsia" w:asciiTheme="minorEastAsia" w:hAnsiTheme="minorEastAsia" w:eastAsiaTheme="minorEastAsia"/>
          <w:bCs/>
          <w:sz w:val="24"/>
          <w:szCs w:val="24"/>
        </w:rPr>
        <w:t>。</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8、售后服务</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（1）售后服务体系：提供7*24小时的电话支持服务、现场支持服务、远程技术服务等形式的售后服务。</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（2）达到上线要求的软件经预验收合格后交付用户，经买方试运行六个月后进行项目终验，试运行期内免费提供虚拟仿真实验项目的软件完善优化及维护服务。</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（3）终验合格后，一年内免费为用户提供培训及咨询服务，在交付项目之日起计划开始提供培训，直至用户学会使用为止。</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（4）免费提供所购软件中文版的操作说明书及相关技术资料。</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（5）免费维护期内，供应商在投标文件中需明确承诺售后服务响应时间，并不得低于以下标准：承诺响应时间小于1小时，2小时内到达故障现场，解决问题时间小于6个小时。</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（6）软件免费维护期3年。</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9、协助采购人做好信息安全2级等级保护测评工作。</w:t>
      </w: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四、安装要求</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按照国家现行行业规范标准进行安装，符合国家或行业质量检验评定标准。</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1.要求项目运行流畅，可以和学校虚拟仿真平台实现无缝对接，达到不限制点数使用的要求；</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2.要求项目流程和内容设计科学严谨，界面美观大方，运行流畅，支持实验成绩的上传，依托平台可生成实验报告；</w:t>
      </w:r>
    </w:p>
    <w:p>
      <w:pPr>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bCs/>
          <w:sz w:val="24"/>
          <w:szCs w:val="24"/>
        </w:rPr>
        <w:t>3.满足与省平台和教育部平台申报对接的要求，并做出及时的响应服务。</w:t>
      </w: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交货期、交货方式及交货地点</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 交货期：</w:t>
      </w:r>
      <w:r>
        <w:rPr>
          <w:rFonts w:hint="eastAsia" w:asciiTheme="minorEastAsia" w:hAnsiTheme="minorEastAsia" w:eastAsiaTheme="minorEastAsia"/>
          <w:bCs/>
          <w:sz w:val="24"/>
          <w:szCs w:val="24"/>
        </w:rPr>
        <w:t>务必在2024年02月20号之前完成全部设备到货安装及验收。</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 交货方式：</w:t>
      </w:r>
      <w:r>
        <w:rPr>
          <w:rFonts w:hint="eastAsia" w:asciiTheme="minorEastAsia" w:hAnsiTheme="minorEastAsia" w:eastAsiaTheme="minorEastAsia"/>
          <w:bCs/>
          <w:sz w:val="24"/>
          <w:szCs w:val="24"/>
        </w:rPr>
        <w:t>中标人在买方指定地点交货，并完成安装、验收。</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 交货地点：</w:t>
      </w:r>
      <w:r>
        <w:rPr>
          <w:rFonts w:hint="eastAsia" w:asciiTheme="minorEastAsia" w:hAnsiTheme="minorEastAsia" w:eastAsiaTheme="minorEastAsia"/>
          <w:bCs/>
          <w:sz w:val="24"/>
          <w:szCs w:val="24"/>
        </w:rPr>
        <w:t>南京医科大学。</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w:t>
      </w:r>
      <w:r>
        <w:rPr>
          <w:rFonts w:asciiTheme="minorEastAsia" w:hAnsiTheme="minorEastAsia" w:eastAsiaTheme="minorEastAsia"/>
          <w:b/>
          <w:bCs/>
          <w:sz w:val="24"/>
          <w:szCs w:val="24"/>
        </w:rPr>
        <w:t>货款支付</w:t>
      </w:r>
    </w:p>
    <w:p>
      <w:pPr>
        <w:spacing w:line="360" w:lineRule="auto"/>
        <w:ind w:firstLine="480" w:firstLineChars="200"/>
      </w:pPr>
      <w:bookmarkStart w:id="166" w:name="_Toc401414769"/>
      <w:r>
        <w:rPr>
          <w:rFonts w:hint="eastAsia" w:asciiTheme="minorEastAsia" w:hAnsiTheme="minorEastAsia" w:eastAsiaTheme="minorEastAsia"/>
          <w:bCs/>
          <w:sz w:val="24"/>
          <w:szCs w:val="24"/>
        </w:rPr>
        <w:t>合同签订后，乙方向甲方开具发票，甲方自收到发票后15 日内支付合同总价的30%；项目整体验收合格且正常运行一周后，乙方向甲方开具发票，甲方自收到发票后15日内支付合同总价的70%。</w:t>
      </w:r>
      <w:r>
        <w:br w:type="page"/>
      </w:r>
    </w:p>
    <w:p>
      <w:pPr>
        <w:pStyle w:val="12"/>
        <w:ind w:left="1320"/>
      </w:pPr>
    </w:p>
    <w:p>
      <w:pPr>
        <w:pStyle w:val="2"/>
        <w:keepNext w:val="0"/>
        <w:keepLines/>
        <w:spacing w:line="360" w:lineRule="auto"/>
        <w:ind w:firstLine="883" w:firstLineChars="200"/>
        <w:rPr>
          <w:rFonts w:ascii="宋体" w:hAnsi="宋体" w:eastAsia="宋体"/>
          <w:bCs/>
          <w:sz w:val="44"/>
          <w:szCs w:val="44"/>
        </w:rPr>
      </w:pPr>
      <w:bookmarkStart w:id="167" w:name="_Toc523931348"/>
      <w:r>
        <w:rPr>
          <w:rFonts w:hint="eastAsia" w:ascii="宋体" w:hAnsi="宋体" w:eastAsia="宋体"/>
          <w:b/>
          <w:bCs/>
          <w:sz w:val="44"/>
          <w:szCs w:val="44"/>
        </w:rPr>
        <w:t>第四章  评标方法与评标标准</w:t>
      </w:r>
      <w:bookmarkEnd w:id="167"/>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宋体" w:hAnsi="宋体"/>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bookmarkEnd w:id="166"/>
    </w:p>
    <w:tbl>
      <w:tblPr>
        <w:tblStyle w:val="20"/>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661"/>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7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ascii="宋体" w:hAnsi="宋体" w:cs="Tahoma"/>
                <w:b/>
                <w:kern w:val="2"/>
                <w:szCs w:val="24"/>
              </w:rPr>
            </w:pPr>
            <w:r>
              <w:rPr>
                <w:rFonts w:hint="eastAsia" w:ascii="宋体" w:hAnsi="宋体" w:cs="Tahoma"/>
                <w:b/>
                <w:kern w:val="2"/>
                <w:sz w:val="21"/>
                <w:szCs w:val="21"/>
              </w:rPr>
              <w:t>一、</w:t>
            </w:r>
            <w:r>
              <w:rPr>
                <w:rFonts w:ascii="宋体" w:hAnsi="宋体" w:cs="Tahoma"/>
                <w:b/>
                <w:kern w:val="2"/>
                <w:sz w:val="21"/>
                <w:szCs w:val="21"/>
              </w:rPr>
              <w:t>技术指标（</w:t>
            </w:r>
            <w:r>
              <w:rPr>
                <w:rFonts w:hint="eastAsia" w:ascii="宋体" w:hAnsi="宋体" w:cs="Tahoma"/>
                <w:b/>
                <w:kern w:val="2"/>
                <w:sz w:val="21"/>
                <w:szCs w:val="21"/>
              </w:rPr>
              <w:t>60</w:t>
            </w:r>
            <w:r>
              <w:rPr>
                <w:rFonts w:ascii="宋体" w:hAnsi="宋体" w:cs="Tahoma"/>
                <w:b/>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宋体" w:hAnsi="宋体" w:cs="Tahoma"/>
                <w:b/>
                <w:kern w:val="2"/>
                <w:sz w:val="21"/>
                <w:szCs w:val="21"/>
              </w:rPr>
            </w:pPr>
            <w:r>
              <w:rPr>
                <w:rFonts w:ascii="宋体" w:hAnsi="宋体" w:cs="Tahoma"/>
                <w:b/>
                <w:kern w:val="2"/>
                <w:sz w:val="21"/>
                <w:szCs w:val="21"/>
              </w:rPr>
              <w:t>序号</w:t>
            </w:r>
          </w:p>
        </w:tc>
        <w:tc>
          <w:tcPr>
            <w:tcW w:w="76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宋体" w:hAnsi="宋体" w:cs="Tahoma"/>
                <w:b/>
                <w:kern w:val="2"/>
                <w:sz w:val="21"/>
                <w:szCs w:val="21"/>
              </w:rPr>
            </w:pPr>
            <w:r>
              <w:rPr>
                <w:rFonts w:ascii="宋体" w:hAnsi="宋体" w:cs="Tahoma"/>
                <w:b/>
                <w:kern w:val="2"/>
                <w:sz w:val="21"/>
                <w:szCs w:val="21"/>
              </w:rPr>
              <w:t>技术指标</w:t>
            </w:r>
          </w:p>
        </w:tc>
        <w:tc>
          <w:tcPr>
            <w:tcW w:w="769"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宋体" w:hAnsi="宋体" w:cs="Tahoma"/>
                <w:b/>
                <w:kern w:val="2"/>
                <w:sz w:val="18"/>
                <w:szCs w:val="18"/>
              </w:rPr>
            </w:pPr>
            <w:r>
              <w:rPr>
                <w:rFonts w:ascii="宋体" w:hAnsi="宋体" w:cs="Tahoma"/>
                <w:b/>
                <w:kern w:val="2"/>
                <w:sz w:val="18"/>
                <w:szCs w:val="18"/>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1241" w:type="dxa"/>
            <w:tcBorders>
              <w:top w:val="single" w:color="auto" w:sz="4" w:space="0"/>
              <w:left w:val="single" w:color="auto" w:sz="4" w:space="0"/>
              <w:right w:val="single" w:color="auto" w:sz="4" w:space="0"/>
            </w:tcBorders>
            <w:vAlign w:val="center"/>
          </w:tcPr>
          <w:p>
            <w:pPr>
              <w:spacing w:line="360" w:lineRule="exact"/>
              <w:jc w:val="center"/>
              <w:rPr>
                <w:rFonts w:eastAsia="等线" w:cs="Tahoma"/>
                <w:bCs/>
                <w:sz w:val="21"/>
                <w:szCs w:val="21"/>
              </w:rPr>
            </w:pPr>
            <w:r>
              <w:rPr>
                <w:rFonts w:eastAsia="等线" w:cs="Tahoma"/>
                <w:bCs/>
                <w:sz w:val="21"/>
                <w:szCs w:val="21"/>
              </w:rPr>
              <w:t>1</w:t>
            </w:r>
          </w:p>
        </w:tc>
        <w:tc>
          <w:tcPr>
            <w:tcW w:w="7661" w:type="dxa"/>
            <w:vAlign w:val="center"/>
          </w:tcPr>
          <w:p>
            <w:pPr>
              <w:spacing w:line="320" w:lineRule="exact"/>
              <w:rPr>
                <w:rFonts w:ascii="楷体" w:hAnsi="楷体" w:eastAsia="楷体" w:cs="Tahoma"/>
                <w:b/>
                <w:kern w:val="2"/>
                <w:szCs w:val="24"/>
              </w:rPr>
            </w:pPr>
            <w:r>
              <w:rPr>
                <w:rFonts w:hint="eastAsia" w:ascii="楷体" w:hAnsi="楷体" w:eastAsia="楷体" w:cs="Tahoma"/>
                <w:b/>
                <w:kern w:val="2"/>
                <w:szCs w:val="24"/>
              </w:rPr>
              <w:t>投标人所投产品的</w:t>
            </w:r>
            <w:r>
              <w:rPr>
                <w:rFonts w:ascii="楷体" w:hAnsi="楷体" w:eastAsia="楷体" w:cs="Tahoma"/>
                <w:b/>
                <w:kern w:val="2"/>
                <w:szCs w:val="24"/>
              </w:rPr>
              <w:t>技术参数</w:t>
            </w:r>
            <w:r>
              <w:rPr>
                <w:rFonts w:hint="eastAsia" w:ascii="楷体" w:hAnsi="楷体" w:eastAsia="楷体" w:cs="Tahoma"/>
                <w:b/>
                <w:kern w:val="2"/>
                <w:szCs w:val="24"/>
              </w:rPr>
              <w:t>完全符合招标文件要求得30分。若技术指标中加</w:t>
            </w:r>
            <w:r>
              <w:rPr>
                <w:rFonts w:ascii="楷体" w:hAnsi="楷体" w:eastAsia="楷体" w:cs="Tahoma"/>
                <w:bCs/>
              </w:rPr>
              <w:t>“</w:t>
            </w:r>
            <w:r>
              <w:rPr>
                <w:rFonts w:hint="eastAsia" w:ascii="楷体" w:hAnsi="楷体" w:eastAsia="楷体" w:cs="Tahoma"/>
              </w:rPr>
              <w:t>▲</w:t>
            </w:r>
            <w:r>
              <w:rPr>
                <w:rFonts w:ascii="楷体" w:hAnsi="楷体" w:eastAsia="楷体" w:cs="Tahoma"/>
                <w:bCs/>
              </w:rPr>
              <w:t>”条款</w:t>
            </w:r>
            <w:r>
              <w:rPr>
                <w:rFonts w:hint="eastAsia" w:ascii="楷体" w:hAnsi="楷体" w:eastAsia="楷体" w:cs="Tahoma"/>
                <w:bCs/>
              </w:rPr>
              <w:t>每</w:t>
            </w:r>
            <w:r>
              <w:rPr>
                <w:rFonts w:ascii="楷体" w:hAnsi="楷体" w:eastAsia="楷体" w:cs="Tahoma"/>
                <w:bCs/>
              </w:rPr>
              <w:t>不满足一</w:t>
            </w:r>
            <w:r>
              <w:rPr>
                <w:rFonts w:hint="eastAsia" w:ascii="楷体" w:hAnsi="楷体" w:eastAsia="楷体" w:cs="Tahoma"/>
                <w:bCs/>
              </w:rPr>
              <w:t>项</w:t>
            </w:r>
            <w:r>
              <w:rPr>
                <w:rFonts w:ascii="楷体" w:hAnsi="楷体" w:eastAsia="楷体" w:cs="Tahoma"/>
                <w:bCs/>
              </w:rPr>
              <w:t>扣</w:t>
            </w:r>
            <w:r>
              <w:rPr>
                <w:rFonts w:hint="eastAsia" w:ascii="楷体" w:hAnsi="楷体" w:eastAsia="楷体" w:cs="Tahoma"/>
                <w:bCs/>
              </w:rPr>
              <w:t>3</w:t>
            </w:r>
            <w:r>
              <w:rPr>
                <w:rFonts w:ascii="楷体" w:hAnsi="楷体" w:eastAsia="楷体" w:cs="Tahoma"/>
                <w:bCs/>
              </w:rPr>
              <w:t>分，非“</w:t>
            </w:r>
            <w:r>
              <w:rPr>
                <w:rFonts w:hint="eastAsia" w:ascii="楷体" w:hAnsi="楷体" w:eastAsia="楷体" w:cs="Tahoma"/>
              </w:rPr>
              <w:t>▲</w:t>
            </w:r>
            <w:r>
              <w:rPr>
                <w:rFonts w:ascii="楷体" w:hAnsi="楷体" w:eastAsia="楷体" w:cs="Tahoma"/>
                <w:bCs/>
              </w:rPr>
              <w:t>”条款</w:t>
            </w:r>
            <w:r>
              <w:rPr>
                <w:rFonts w:hint="eastAsia" w:ascii="楷体" w:hAnsi="楷体" w:eastAsia="楷体" w:cs="Tahoma"/>
                <w:bCs/>
              </w:rPr>
              <w:t>每</w:t>
            </w:r>
            <w:r>
              <w:rPr>
                <w:rFonts w:ascii="楷体" w:hAnsi="楷体" w:eastAsia="楷体" w:cs="Tahoma"/>
                <w:bCs/>
              </w:rPr>
              <w:t>不满足</w:t>
            </w:r>
            <w:r>
              <w:rPr>
                <w:rFonts w:hint="eastAsia" w:ascii="楷体" w:hAnsi="楷体" w:eastAsia="楷体" w:cs="Tahoma"/>
                <w:bCs/>
              </w:rPr>
              <w:t>1项</w:t>
            </w:r>
            <w:r>
              <w:rPr>
                <w:rFonts w:ascii="楷体" w:hAnsi="楷体" w:eastAsia="楷体" w:cs="Tahoma"/>
                <w:bCs/>
              </w:rPr>
              <w:t>扣</w:t>
            </w:r>
            <w:r>
              <w:rPr>
                <w:rFonts w:hint="eastAsia" w:ascii="楷体" w:hAnsi="楷体" w:eastAsia="楷体" w:cs="Tahoma"/>
                <w:bCs/>
              </w:rPr>
              <w:t>1</w:t>
            </w:r>
            <w:r>
              <w:rPr>
                <w:rFonts w:ascii="楷体" w:hAnsi="楷体" w:eastAsia="楷体" w:cs="Tahoma"/>
                <w:bCs/>
              </w:rPr>
              <w:t>分</w:t>
            </w:r>
            <w:r>
              <w:rPr>
                <w:rFonts w:hint="eastAsia" w:ascii="楷体" w:hAnsi="楷体" w:eastAsia="楷体" w:cs="Tahoma"/>
                <w:bCs/>
              </w:rPr>
              <w:t>。若有</w:t>
            </w:r>
            <w:r>
              <w:rPr>
                <w:rFonts w:ascii="楷体" w:hAnsi="楷体" w:eastAsia="楷体" w:cs="Tahoma"/>
                <w:bCs/>
              </w:rPr>
              <w:t>3</w:t>
            </w:r>
            <w:r>
              <w:rPr>
                <w:rFonts w:hint="eastAsia" w:ascii="楷体" w:hAnsi="楷体" w:eastAsia="楷体" w:cs="Tahoma"/>
                <w:bCs/>
              </w:rPr>
              <w:t>项及以上不满足要求，本项得0分。</w:t>
            </w:r>
          </w:p>
        </w:tc>
        <w:tc>
          <w:tcPr>
            <w:tcW w:w="769" w:type="dxa"/>
            <w:vAlign w:val="center"/>
          </w:tcPr>
          <w:p>
            <w:pPr>
              <w:spacing w:line="360" w:lineRule="exact"/>
              <w:jc w:val="center"/>
              <w:rPr>
                <w:rFonts w:ascii="楷体" w:hAnsi="楷体" w:eastAsia="楷体" w:cs="Tahoma"/>
                <w:b/>
                <w:kern w:val="2"/>
                <w:szCs w:val="24"/>
              </w:rPr>
            </w:pPr>
            <w:r>
              <w:rPr>
                <w:rFonts w:ascii="楷体" w:hAnsi="楷体" w:eastAsia="楷体" w:cs="Tahoma"/>
                <w:b/>
                <w:kern w:val="2"/>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241" w:type="dxa"/>
            <w:vMerge w:val="restart"/>
            <w:tcBorders>
              <w:left w:val="single" w:color="auto" w:sz="4" w:space="0"/>
              <w:right w:val="single" w:color="auto" w:sz="4" w:space="0"/>
            </w:tcBorders>
            <w:vAlign w:val="center"/>
          </w:tcPr>
          <w:p>
            <w:pPr>
              <w:spacing w:line="360" w:lineRule="exact"/>
              <w:jc w:val="center"/>
              <w:rPr>
                <w:rFonts w:eastAsia="等线" w:cs="Tahoma"/>
                <w:bCs/>
                <w:sz w:val="21"/>
                <w:szCs w:val="21"/>
              </w:rPr>
            </w:pPr>
            <w:r>
              <w:rPr>
                <w:rFonts w:eastAsia="等线" w:cs="Tahoma"/>
                <w:bCs/>
                <w:sz w:val="21"/>
                <w:szCs w:val="21"/>
              </w:rPr>
              <w:t>2</w:t>
            </w:r>
          </w:p>
        </w:tc>
        <w:tc>
          <w:tcPr>
            <w:tcW w:w="8430" w:type="dxa"/>
            <w:gridSpan w:val="2"/>
            <w:vAlign w:val="center"/>
          </w:tcPr>
          <w:p>
            <w:pPr>
              <w:spacing w:line="60" w:lineRule="atLeast"/>
              <w:rPr>
                <w:rFonts w:eastAsia="等线" w:cs="Tahoma"/>
                <w:b/>
                <w:bCs/>
                <w:sz w:val="18"/>
                <w:szCs w:val="18"/>
              </w:rPr>
            </w:pPr>
            <w:r>
              <w:rPr>
                <w:rFonts w:hint="eastAsia" w:ascii="楷体" w:hAnsi="楷体" w:eastAsia="楷体" w:cs="Tahoma"/>
                <w:bCs/>
              </w:rPr>
              <w:t>投标人须对招标文件技术要求和实验内容带“★”项现场演示：为了让评委对所投主要产品有直观、快速的了解，投标人需要提供演示视频（采用MP4格式），演示时间限制在15分钟内完成。视频文件拷入U盘与投标文件密封在一起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1241" w:type="dxa"/>
            <w:vMerge w:val="continue"/>
            <w:tcBorders>
              <w:left w:val="single" w:color="auto" w:sz="4" w:space="0"/>
              <w:right w:val="single" w:color="auto" w:sz="4" w:space="0"/>
            </w:tcBorders>
            <w:vAlign w:val="center"/>
          </w:tcPr>
          <w:p>
            <w:pPr>
              <w:spacing w:line="360" w:lineRule="exact"/>
              <w:jc w:val="center"/>
              <w:rPr>
                <w:rFonts w:eastAsia="等线" w:cs="Tahoma"/>
                <w:bCs/>
                <w:sz w:val="21"/>
                <w:szCs w:val="21"/>
              </w:rPr>
            </w:pPr>
          </w:p>
        </w:tc>
        <w:tc>
          <w:tcPr>
            <w:tcW w:w="7661" w:type="dxa"/>
            <w:vAlign w:val="center"/>
          </w:tcPr>
          <w:p>
            <w:pPr>
              <w:numPr>
                <w:ilvl w:val="0"/>
                <w:numId w:val="3"/>
              </w:numPr>
              <w:spacing w:line="60" w:lineRule="atLeast"/>
              <w:rPr>
                <w:rFonts w:ascii="楷体" w:hAnsi="楷体" w:eastAsia="楷体" w:cs="Tahoma"/>
                <w:szCs w:val="24"/>
              </w:rPr>
            </w:pPr>
            <w:r>
              <w:rPr>
                <w:rFonts w:hint="eastAsia" w:ascii="楷体" w:hAnsi="楷体" w:eastAsia="楷体" w:cs="Tahoma"/>
                <w:szCs w:val="24"/>
              </w:rPr>
              <w:t>仿真实验演示：</w:t>
            </w:r>
          </w:p>
          <w:p>
            <w:pPr>
              <w:spacing w:line="60" w:lineRule="atLeast"/>
              <w:ind w:firstLine="220" w:firstLineChars="100"/>
              <w:rPr>
                <w:rFonts w:ascii="楷体" w:hAnsi="楷体" w:eastAsia="楷体" w:cs="Tahoma"/>
                <w:bCs/>
              </w:rPr>
            </w:pPr>
            <w:r>
              <w:rPr>
                <w:rFonts w:hint="eastAsia" w:ascii="楷体" w:hAnsi="楷体" w:eastAsia="楷体" w:cs="Tahoma"/>
                <w:szCs w:val="24"/>
              </w:rPr>
              <w:t>①演示医患纠纷虚拟仿真案例，让用户可以了解医疗纠纷事件的背景及相关知识</w:t>
            </w:r>
          </w:p>
          <w:p>
            <w:pPr>
              <w:spacing w:line="264" w:lineRule="auto"/>
              <w:rPr>
                <w:rFonts w:ascii="楷体" w:hAnsi="楷体" w:eastAsia="楷体" w:cs="Tahoma"/>
                <w:bCs/>
              </w:rPr>
            </w:pPr>
            <w:r>
              <w:rPr>
                <w:rFonts w:hint="eastAsia" w:ascii="楷体" w:hAnsi="楷体" w:eastAsia="楷体" w:cs="Tahoma"/>
                <w:bCs/>
              </w:rPr>
              <w:t>（</w:t>
            </w:r>
            <w:r>
              <w:rPr>
                <w:rFonts w:ascii="楷体" w:hAnsi="楷体" w:eastAsia="楷体" w:cs="Tahoma"/>
                <w:bCs/>
              </w:rPr>
              <w:t>2</w:t>
            </w:r>
            <w:r>
              <w:rPr>
                <w:rFonts w:hint="eastAsia" w:ascii="楷体" w:hAnsi="楷体" w:eastAsia="楷体" w:cs="Tahoma"/>
                <w:bCs/>
              </w:rPr>
              <w:t>）虚拟仿真创新应用：</w:t>
            </w:r>
          </w:p>
          <w:p>
            <w:pPr>
              <w:spacing w:line="264" w:lineRule="auto"/>
              <w:ind w:firstLine="220" w:firstLineChars="100"/>
              <w:rPr>
                <w:rFonts w:ascii="楷体" w:hAnsi="楷体" w:eastAsia="楷体" w:cs="Tahoma"/>
                <w:szCs w:val="24"/>
              </w:rPr>
            </w:pPr>
            <w:r>
              <w:rPr>
                <w:rFonts w:hint="eastAsia" w:ascii="楷体" w:hAnsi="楷体" w:eastAsia="楷体" w:cs="Tahoma"/>
                <w:bCs/>
              </w:rPr>
              <w:t>①演示手机或平板端微实验在线下课堂场景中的应用，提供实际使用的应用案例的图片或视频。</w:t>
            </w:r>
          </w:p>
          <w:p>
            <w:pPr>
              <w:spacing w:line="264" w:lineRule="auto"/>
              <w:ind w:firstLine="220" w:firstLineChars="100"/>
              <w:rPr>
                <w:rFonts w:ascii="楷体" w:hAnsi="楷体" w:eastAsia="楷体" w:cs="Tahoma"/>
                <w:szCs w:val="24"/>
              </w:rPr>
            </w:pPr>
            <w:r>
              <w:rPr>
                <w:rFonts w:hint="eastAsia" w:ascii="楷体" w:hAnsi="楷体" w:eastAsia="楷体" w:cs="Tahoma"/>
                <w:bCs/>
              </w:rPr>
              <w:t>②演示手机或平板端微实验在在线视频场景中的应用，提供实际使用的应用案例的图片或视频。</w:t>
            </w:r>
          </w:p>
          <w:p>
            <w:pPr>
              <w:spacing w:line="60" w:lineRule="atLeast"/>
              <w:rPr>
                <w:rFonts w:ascii="楷体" w:hAnsi="楷体" w:eastAsia="楷体" w:cs="Tahoma"/>
                <w:szCs w:val="24"/>
              </w:rPr>
            </w:pPr>
            <w:r>
              <w:rPr>
                <w:rFonts w:hint="eastAsia" w:ascii="楷体" w:hAnsi="楷体" w:eastAsia="楷体" w:cs="Tahoma"/>
                <w:szCs w:val="24"/>
              </w:rPr>
              <w:t xml:space="preserve">  ③演示手机或平板端微实验在数字教材场景中的应用，可通过图片识别进入交互实验。</w:t>
            </w:r>
          </w:p>
          <w:p>
            <w:pPr>
              <w:numPr>
                <w:ilvl w:val="0"/>
                <w:numId w:val="4"/>
              </w:numPr>
              <w:spacing w:line="264" w:lineRule="auto"/>
              <w:rPr>
                <w:rFonts w:ascii="楷体" w:hAnsi="楷体" w:eastAsia="楷体" w:cs="Tahoma"/>
                <w:szCs w:val="24"/>
              </w:rPr>
            </w:pPr>
            <w:r>
              <w:rPr>
                <w:rFonts w:hint="eastAsia" w:ascii="楷体" w:hAnsi="楷体" w:eastAsia="楷体" w:cs="Tahoma"/>
                <w:szCs w:val="24"/>
              </w:rPr>
              <w:t>虚拟仿真课程体系建设：</w:t>
            </w:r>
          </w:p>
          <w:p>
            <w:pPr>
              <w:spacing w:line="264" w:lineRule="auto"/>
              <w:rPr>
                <w:rFonts w:ascii="楷体" w:hAnsi="楷体" w:eastAsia="楷体" w:cs="Tahoma"/>
                <w:szCs w:val="24"/>
              </w:rPr>
            </w:pPr>
            <w:r>
              <w:rPr>
                <w:rFonts w:hint="eastAsia" w:ascii="楷体" w:hAnsi="楷体" w:eastAsia="楷体" w:cs="Tahoma"/>
                <w:szCs w:val="24"/>
              </w:rPr>
              <w:t xml:space="preserve">  ①学习中实验：在课程学习的资源中，如果该资源关联虚拟仿真实验，系统会提示学习者是否进行实验，达到理论学习与实践学习相互交叉融合的学习效果；</w:t>
            </w:r>
          </w:p>
          <w:p>
            <w:pPr>
              <w:spacing w:line="264" w:lineRule="auto"/>
              <w:ind w:firstLine="220" w:firstLineChars="100"/>
              <w:rPr>
                <w:rFonts w:ascii="楷体" w:hAnsi="楷体" w:eastAsia="楷体" w:cs="Tahoma"/>
                <w:szCs w:val="24"/>
              </w:rPr>
            </w:pPr>
            <w:r>
              <w:rPr>
                <w:rFonts w:hint="eastAsia" w:ascii="楷体" w:hAnsi="楷体" w:eastAsia="楷体" w:cs="Tahoma"/>
                <w:szCs w:val="24"/>
              </w:rPr>
              <w:t>②知识图谱：可查看当前课程和相关课程的知识图谱，以及知识点所关联的知识点及关联关系。通过点击知识点实体，可卡片显示当前知识点对应具体内容（视频或文字）。</w:t>
            </w:r>
          </w:p>
          <w:p>
            <w:pPr>
              <w:spacing w:line="60" w:lineRule="atLeast"/>
              <w:rPr>
                <w:rFonts w:ascii="楷体" w:hAnsi="楷体" w:eastAsia="楷体" w:cs="Tahoma"/>
                <w:bCs/>
              </w:rPr>
            </w:pPr>
            <w:r>
              <w:rPr>
                <w:rFonts w:hint="eastAsia" w:ascii="楷体" w:hAnsi="楷体" w:eastAsia="楷体" w:cs="Tahoma"/>
                <w:bCs/>
              </w:rPr>
              <w:t>每演示一点且符合用户需求得4分，最高20分；不演示不得分。</w:t>
            </w:r>
          </w:p>
        </w:tc>
        <w:tc>
          <w:tcPr>
            <w:tcW w:w="769" w:type="dxa"/>
            <w:vAlign w:val="center"/>
          </w:tcPr>
          <w:p>
            <w:pPr>
              <w:spacing w:line="360" w:lineRule="exact"/>
              <w:jc w:val="center"/>
              <w:rPr>
                <w:rFonts w:ascii="楷体" w:hAnsi="楷体" w:eastAsia="楷体" w:cs="Tahoma"/>
                <w:b/>
                <w:kern w:val="2"/>
                <w:szCs w:val="24"/>
              </w:rPr>
            </w:pPr>
            <w:r>
              <w:rPr>
                <w:rFonts w:hint="eastAsia" w:ascii="楷体" w:hAnsi="楷体" w:eastAsia="楷体" w:cs="Tahoma"/>
                <w:b/>
                <w:kern w:val="2"/>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241" w:type="dxa"/>
            <w:tcBorders>
              <w:left w:val="single" w:color="auto" w:sz="4" w:space="0"/>
              <w:right w:val="single" w:color="auto" w:sz="4" w:space="0"/>
            </w:tcBorders>
            <w:vAlign w:val="center"/>
          </w:tcPr>
          <w:p>
            <w:pPr>
              <w:spacing w:line="360" w:lineRule="exact"/>
              <w:jc w:val="center"/>
              <w:rPr>
                <w:rFonts w:eastAsia="等线" w:cs="Tahoma"/>
                <w:bCs/>
                <w:sz w:val="21"/>
                <w:szCs w:val="21"/>
              </w:rPr>
            </w:pPr>
            <w:r>
              <w:rPr>
                <w:rFonts w:hint="eastAsia" w:eastAsia="等线" w:cs="Tahoma"/>
                <w:bCs/>
                <w:sz w:val="21"/>
                <w:szCs w:val="21"/>
              </w:rPr>
              <w:t>3</w:t>
            </w:r>
          </w:p>
        </w:tc>
        <w:tc>
          <w:tcPr>
            <w:tcW w:w="7661" w:type="dxa"/>
            <w:vAlign w:val="center"/>
          </w:tcPr>
          <w:p>
            <w:pPr>
              <w:spacing w:line="300" w:lineRule="exact"/>
              <w:rPr>
                <w:rFonts w:ascii="楷体" w:hAnsi="楷体" w:eastAsia="楷体" w:cs="Tahoma"/>
                <w:bCs/>
              </w:rPr>
            </w:pPr>
            <w:r>
              <w:rPr>
                <w:rFonts w:hint="eastAsia" w:ascii="楷体" w:hAnsi="楷体" w:eastAsia="楷体" w:cs="Tahoma"/>
                <w:szCs w:val="24"/>
              </w:rPr>
              <w:t>投标人针对本实验内容要求提供详细完整的技术方案，需包含实验架构，实验脚本，赋分模型等，满分10分。方案满足招标文件要求，方案内容完整、合理得10分；方案比较合理、完整得6分；方案差或无方案得0分。</w:t>
            </w:r>
          </w:p>
        </w:tc>
        <w:tc>
          <w:tcPr>
            <w:tcW w:w="769" w:type="dxa"/>
            <w:vAlign w:val="center"/>
          </w:tcPr>
          <w:p>
            <w:pPr>
              <w:spacing w:line="360" w:lineRule="exact"/>
              <w:jc w:val="center"/>
              <w:rPr>
                <w:rFonts w:ascii="楷体" w:hAnsi="楷体" w:eastAsia="楷体" w:cs="Tahoma"/>
                <w:b/>
                <w:kern w:val="2"/>
                <w:szCs w:val="24"/>
              </w:rPr>
            </w:pPr>
            <w:r>
              <w:rPr>
                <w:rFonts w:hint="eastAsia" w:ascii="楷体" w:hAnsi="楷体" w:eastAsia="楷体" w:cs="Tahoma"/>
                <w:b/>
                <w:kern w:val="2"/>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67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ascii="宋体" w:hAnsi="宋体" w:cs="Tahoma"/>
                <w:b/>
                <w:kern w:val="2"/>
                <w:sz w:val="21"/>
                <w:szCs w:val="21"/>
              </w:rPr>
            </w:pPr>
            <w:r>
              <w:rPr>
                <w:rFonts w:hint="eastAsia" w:ascii="宋体" w:hAnsi="宋体" w:cs="Tahoma"/>
                <w:b/>
                <w:kern w:val="2"/>
                <w:sz w:val="21"/>
                <w:szCs w:val="21"/>
              </w:rPr>
              <w:t>二、</w:t>
            </w:r>
            <w:r>
              <w:rPr>
                <w:rFonts w:ascii="宋体" w:hAnsi="宋体" w:cs="Tahoma"/>
                <w:b/>
                <w:kern w:val="2"/>
                <w:sz w:val="21"/>
                <w:szCs w:val="21"/>
              </w:rPr>
              <w:t>商务条款（</w:t>
            </w:r>
            <w:r>
              <w:rPr>
                <w:rFonts w:hint="eastAsia" w:ascii="宋体" w:hAnsi="宋体" w:cs="Tahoma"/>
                <w:b/>
                <w:kern w:val="2"/>
                <w:sz w:val="21"/>
                <w:szCs w:val="21"/>
              </w:rPr>
              <w:t>10</w:t>
            </w:r>
            <w:r>
              <w:rPr>
                <w:rFonts w:ascii="宋体" w:hAnsi="宋体" w:cs="Tahoma"/>
                <w:b/>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241" w:type="dxa"/>
            <w:tcBorders>
              <w:top w:val="single" w:color="auto" w:sz="4" w:space="0"/>
              <w:left w:val="single" w:color="auto" w:sz="4" w:space="0"/>
              <w:bottom w:val="single" w:color="auto" w:sz="4" w:space="0"/>
              <w:right w:val="single" w:color="auto" w:sz="4" w:space="0"/>
            </w:tcBorders>
          </w:tcPr>
          <w:p>
            <w:pPr>
              <w:widowControl w:val="0"/>
              <w:spacing w:line="276" w:lineRule="auto"/>
              <w:jc w:val="center"/>
              <w:rPr>
                <w:rFonts w:eastAsia="等线" w:cs="Tahoma"/>
                <w:b/>
                <w:kern w:val="2"/>
                <w:sz w:val="21"/>
                <w:szCs w:val="21"/>
              </w:rPr>
            </w:pPr>
            <w:r>
              <w:rPr>
                <w:rFonts w:ascii="宋体" w:hAnsi="宋体" w:cs="Tahoma"/>
                <w:b/>
                <w:kern w:val="2"/>
                <w:sz w:val="21"/>
                <w:szCs w:val="21"/>
              </w:rPr>
              <w:t>序号</w:t>
            </w:r>
          </w:p>
        </w:tc>
        <w:tc>
          <w:tcPr>
            <w:tcW w:w="7661" w:type="dxa"/>
            <w:tcBorders>
              <w:top w:val="single" w:color="auto" w:sz="4" w:space="0"/>
              <w:left w:val="single" w:color="auto" w:sz="4" w:space="0"/>
              <w:bottom w:val="single" w:color="auto" w:sz="4" w:space="0"/>
              <w:right w:val="single" w:color="auto" w:sz="4" w:space="0"/>
            </w:tcBorders>
          </w:tcPr>
          <w:p>
            <w:pPr>
              <w:widowControl w:val="0"/>
              <w:spacing w:line="276" w:lineRule="auto"/>
              <w:jc w:val="center"/>
              <w:rPr>
                <w:rFonts w:ascii="宋体" w:hAnsi="宋体" w:cs="Tahoma"/>
                <w:b/>
                <w:kern w:val="2"/>
                <w:sz w:val="21"/>
                <w:szCs w:val="21"/>
              </w:rPr>
            </w:pPr>
            <w:r>
              <w:rPr>
                <w:rFonts w:ascii="宋体" w:hAnsi="宋体" w:cs="Tahoma"/>
                <w:b/>
                <w:kern w:val="2"/>
                <w:sz w:val="21"/>
                <w:szCs w:val="21"/>
              </w:rPr>
              <w:t>商务要求</w:t>
            </w:r>
          </w:p>
        </w:tc>
        <w:tc>
          <w:tcPr>
            <w:tcW w:w="769"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宋体" w:hAnsi="宋体" w:cs="Tahoma"/>
                <w:b/>
                <w:kern w:val="2"/>
                <w:sz w:val="21"/>
                <w:szCs w:val="21"/>
              </w:rPr>
            </w:pPr>
            <w:r>
              <w:rPr>
                <w:rFonts w:ascii="宋体" w:hAnsi="宋体" w:cs="Tahoma"/>
                <w:b/>
                <w:kern w:val="2"/>
                <w:sz w:val="21"/>
                <w:szCs w:val="21"/>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76" w:lineRule="auto"/>
              <w:jc w:val="center"/>
              <w:rPr>
                <w:rFonts w:eastAsia="等线" w:cs="Tahoma"/>
                <w:kern w:val="2"/>
                <w:sz w:val="21"/>
                <w:szCs w:val="21"/>
              </w:rPr>
            </w:pPr>
            <w:r>
              <w:rPr>
                <w:rFonts w:hint="eastAsia" w:eastAsia="等线" w:cs="Tahoma"/>
                <w:kern w:val="2"/>
                <w:sz w:val="21"/>
                <w:szCs w:val="21"/>
              </w:rPr>
              <w:t>1</w:t>
            </w:r>
          </w:p>
        </w:tc>
        <w:tc>
          <w:tcPr>
            <w:tcW w:w="766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楷体" w:hAnsi="楷体" w:eastAsia="楷体" w:cs="Tahoma"/>
                <w:kern w:val="2"/>
                <w:szCs w:val="24"/>
              </w:rPr>
            </w:pPr>
            <w:r>
              <w:rPr>
                <w:rFonts w:hint="eastAsia" w:ascii="楷体" w:hAnsi="楷体" w:eastAsia="楷体" w:cs="Tahoma"/>
                <w:kern w:val="2"/>
                <w:szCs w:val="24"/>
              </w:rPr>
              <w:t>质保期：软件安装验收后</w:t>
            </w:r>
            <w:r>
              <w:rPr>
                <w:rFonts w:ascii="楷体" w:hAnsi="楷体" w:eastAsia="楷体" w:cs="Tahoma"/>
                <w:kern w:val="2"/>
                <w:szCs w:val="24"/>
              </w:rPr>
              <w:t>3</w:t>
            </w:r>
            <w:r>
              <w:rPr>
                <w:rFonts w:hint="eastAsia" w:ascii="楷体" w:hAnsi="楷体" w:eastAsia="楷体" w:cs="Tahoma"/>
                <w:kern w:val="2"/>
                <w:szCs w:val="24"/>
              </w:rPr>
              <w:t>年内，全机非耗材内免费保修。全机非耗材内免费保修时间每增加1年得1分，最高得2分。</w:t>
            </w:r>
          </w:p>
        </w:tc>
        <w:tc>
          <w:tcPr>
            <w:tcW w:w="76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楷体" w:hAnsi="楷体" w:eastAsia="楷体" w:cs="Tahoma"/>
                <w:b/>
                <w:kern w:val="2"/>
                <w:szCs w:val="24"/>
              </w:rPr>
            </w:pPr>
            <w:r>
              <w:rPr>
                <w:rFonts w:hint="eastAsia" w:ascii="楷体" w:hAnsi="楷体" w:eastAsia="楷体" w:cs="Tahoma"/>
                <w:b/>
                <w:kern w:val="2"/>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exac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76" w:lineRule="auto"/>
              <w:jc w:val="center"/>
              <w:rPr>
                <w:rFonts w:eastAsia="等线" w:cs="Tahoma"/>
                <w:kern w:val="2"/>
                <w:sz w:val="21"/>
                <w:szCs w:val="21"/>
              </w:rPr>
            </w:pPr>
            <w:r>
              <w:rPr>
                <w:rFonts w:hint="eastAsia" w:eastAsia="等线" w:cs="Tahoma"/>
                <w:kern w:val="2"/>
                <w:sz w:val="21"/>
                <w:szCs w:val="21"/>
              </w:rPr>
              <w:t>2</w:t>
            </w:r>
          </w:p>
        </w:tc>
        <w:tc>
          <w:tcPr>
            <w:tcW w:w="766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楷体" w:hAnsi="楷体" w:eastAsia="楷体" w:cs="Tahoma"/>
                <w:kern w:val="2"/>
                <w:szCs w:val="24"/>
              </w:rPr>
            </w:pPr>
            <w:r>
              <w:rPr>
                <w:rFonts w:hint="eastAsia" w:ascii="楷体" w:hAnsi="楷体" w:eastAsia="楷体" w:cs="Tahoma"/>
                <w:kern w:val="2"/>
                <w:szCs w:val="24"/>
              </w:rPr>
              <w:t>服务保障与售后服务：</w:t>
            </w:r>
          </w:p>
          <w:p>
            <w:pPr>
              <w:spacing w:line="300" w:lineRule="exact"/>
              <w:rPr>
                <w:rFonts w:ascii="楷体" w:hAnsi="楷体" w:eastAsia="楷体" w:cs="Tahoma"/>
                <w:kern w:val="2"/>
                <w:szCs w:val="24"/>
              </w:rPr>
            </w:pPr>
            <w:r>
              <w:rPr>
                <w:rFonts w:hint="eastAsia" w:ascii="楷体" w:hAnsi="楷体" w:eastAsia="楷体" w:cs="Tahoma"/>
                <w:kern w:val="2"/>
                <w:szCs w:val="24"/>
              </w:rPr>
              <w:t>1）承诺响应时间小于1小时，2小时内到达故障现场，解决问题时间小于6个小时。满足要求得1分，不满足要求得0分。</w:t>
            </w:r>
          </w:p>
          <w:p>
            <w:pPr>
              <w:spacing w:line="300" w:lineRule="exact"/>
              <w:rPr>
                <w:rFonts w:ascii="楷体" w:hAnsi="楷体" w:eastAsia="楷体" w:cs="Tahoma"/>
                <w:kern w:val="2"/>
                <w:szCs w:val="24"/>
              </w:rPr>
            </w:pPr>
            <w:r>
              <w:rPr>
                <w:rFonts w:hint="eastAsia" w:ascii="楷体" w:hAnsi="楷体" w:eastAsia="楷体" w:cs="Tahoma"/>
                <w:kern w:val="2"/>
                <w:szCs w:val="24"/>
              </w:rPr>
              <w:t>2）培训方案：针对招标项目技术需求与商务要求，并制定详细、切实可行的培训方案。培训方案详细具体、切实可行的得4分；方案较具体，且有一定可行性的得2分；无方案或不满足要求得0分。</w:t>
            </w:r>
          </w:p>
        </w:tc>
        <w:tc>
          <w:tcPr>
            <w:tcW w:w="76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楷体" w:hAnsi="楷体" w:eastAsia="楷体" w:cs="Tahoma"/>
                <w:b/>
                <w:kern w:val="2"/>
                <w:szCs w:val="24"/>
              </w:rPr>
            </w:pPr>
            <w:r>
              <w:rPr>
                <w:rFonts w:hint="eastAsia" w:ascii="楷体" w:hAnsi="楷体" w:eastAsia="楷体" w:cs="Tahoma"/>
                <w:b/>
                <w:kern w:val="2"/>
                <w:szCs w:val="24"/>
              </w:rPr>
              <w:t>5</w:t>
            </w:r>
            <w:r>
              <w:rPr>
                <w:rFonts w:ascii="楷体" w:hAnsi="楷体" w:eastAsia="楷体" w:cs="Tahoma"/>
                <w:b/>
                <w:kern w:val="2"/>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76" w:lineRule="auto"/>
              <w:jc w:val="center"/>
              <w:rPr>
                <w:rFonts w:eastAsia="等线" w:cs="Tahoma"/>
                <w:kern w:val="2"/>
                <w:sz w:val="21"/>
                <w:szCs w:val="21"/>
              </w:rPr>
            </w:pPr>
            <w:r>
              <w:rPr>
                <w:rFonts w:hint="eastAsia" w:eastAsia="等线" w:cs="Tahoma"/>
                <w:kern w:val="2"/>
                <w:sz w:val="21"/>
                <w:szCs w:val="21"/>
              </w:rPr>
              <w:t>3</w:t>
            </w:r>
          </w:p>
        </w:tc>
        <w:tc>
          <w:tcPr>
            <w:tcW w:w="766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楷体" w:hAnsi="楷体" w:eastAsia="楷体" w:cs="Tahoma"/>
                <w:kern w:val="2"/>
                <w:szCs w:val="24"/>
              </w:rPr>
            </w:pPr>
            <w:r>
              <w:rPr>
                <w:rFonts w:hint="eastAsia" w:ascii="楷体" w:hAnsi="楷体" w:eastAsia="楷体" w:cs="Tahoma"/>
                <w:kern w:val="2"/>
                <w:szCs w:val="24"/>
              </w:rPr>
              <w:t>供应商自2020年1月1日以来承担过的类似的案例。每提供一份合同得1分，最高得3分（提供有效的合同复印件，能够清晰显示合同内容和金额，原件备查）</w:t>
            </w:r>
          </w:p>
        </w:tc>
        <w:tc>
          <w:tcPr>
            <w:tcW w:w="76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楷体" w:hAnsi="楷体" w:eastAsia="楷体" w:cs="Tahoma"/>
                <w:b/>
                <w:kern w:val="2"/>
                <w:szCs w:val="24"/>
              </w:rPr>
            </w:pPr>
            <w:r>
              <w:rPr>
                <w:rFonts w:hint="eastAsia" w:ascii="楷体" w:hAnsi="楷体" w:eastAsia="楷体" w:cs="Tahoma"/>
                <w:b/>
                <w:kern w:val="2"/>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7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ascii="宋体" w:hAnsi="宋体" w:cs="Tahoma"/>
                <w:b/>
                <w:kern w:val="2"/>
                <w:sz w:val="18"/>
                <w:szCs w:val="18"/>
              </w:rPr>
            </w:pPr>
            <w:r>
              <w:rPr>
                <w:rFonts w:hint="eastAsia" w:ascii="宋体" w:hAnsi="宋体" w:cs="Tahoma"/>
                <w:b/>
                <w:kern w:val="2"/>
                <w:sz w:val="21"/>
                <w:szCs w:val="21"/>
              </w:rPr>
              <w:t>三、</w:t>
            </w:r>
            <w:r>
              <w:rPr>
                <w:rFonts w:ascii="宋体" w:hAnsi="宋体" w:cs="Tahoma"/>
                <w:b/>
                <w:kern w:val="2"/>
                <w:sz w:val="21"/>
                <w:szCs w:val="21"/>
              </w:rPr>
              <w:t xml:space="preserve"> 价格（</w:t>
            </w:r>
            <w:r>
              <w:rPr>
                <w:rFonts w:hint="eastAsia" w:ascii="宋体" w:hAnsi="宋体" w:cs="Tahoma"/>
                <w:b/>
                <w:kern w:val="2"/>
                <w:sz w:val="21"/>
                <w:szCs w:val="21"/>
              </w:rPr>
              <w:t>30</w:t>
            </w:r>
            <w:r>
              <w:rPr>
                <w:rFonts w:ascii="宋体" w:hAnsi="宋体" w:cs="Tahoma"/>
                <w:b/>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24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宋体" w:hAnsi="宋体" w:cs="Tahoma"/>
                <w:b/>
                <w:kern w:val="2"/>
                <w:sz w:val="21"/>
                <w:szCs w:val="21"/>
              </w:rPr>
            </w:pPr>
            <w:r>
              <w:rPr>
                <w:rFonts w:ascii="宋体" w:hAnsi="宋体" w:cs="Tahoma"/>
                <w:b/>
                <w:kern w:val="2"/>
                <w:sz w:val="21"/>
                <w:szCs w:val="21"/>
              </w:rPr>
              <w:t>序号</w:t>
            </w:r>
          </w:p>
        </w:tc>
        <w:tc>
          <w:tcPr>
            <w:tcW w:w="7661"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宋体" w:hAnsi="宋体" w:cs="Tahoma"/>
                <w:b/>
                <w:kern w:val="2"/>
                <w:sz w:val="21"/>
                <w:szCs w:val="21"/>
              </w:rPr>
            </w:pPr>
            <w:r>
              <w:rPr>
                <w:rFonts w:ascii="宋体" w:hAnsi="宋体" w:cs="Tahoma"/>
                <w:b/>
                <w:kern w:val="2"/>
                <w:sz w:val="21"/>
                <w:szCs w:val="21"/>
              </w:rPr>
              <w:t>评分标准</w:t>
            </w:r>
          </w:p>
        </w:tc>
        <w:tc>
          <w:tcPr>
            <w:tcW w:w="769"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宋体" w:hAnsi="宋体" w:cs="Tahoma"/>
                <w:b/>
                <w:kern w:val="2"/>
                <w:sz w:val="21"/>
                <w:szCs w:val="21"/>
              </w:rPr>
            </w:pPr>
            <w:r>
              <w:rPr>
                <w:rFonts w:ascii="宋体" w:hAnsi="宋体" w:cs="Tahoma"/>
                <w:b/>
                <w:kern w:val="2"/>
                <w:sz w:val="21"/>
                <w:szCs w:val="21"/>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Tahoma"/>
                <w:szCs w:val="21"/>
              </w:rPr>
            </w:pPr>
            <w:r>
              <w:rPr>
                <w:rFonts w:eastAsia="等线" w:cs="Tahoma"/>
                <w:szCs w:val="21"/>
              </w:rPr>
              <w:t>1</w:t>
            </w:r>
          </w:p>
        </w:tc>
        <w:tc>
          <w:tcPr>
            <w:tcW w:w="7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华文行楷" w:cs="Tahoma"/>
                <w:kern w:val="2"/>
                <w:szCs w:val="24"/>
              </w:rPr>
            </w:pPr>
            <w:r>
              <w:rPr>
                <w:rFonts w:ascii="楷体" w:hAnsi="楷体" w:eastAsia="楷体" w:cs="Tahoma"/>
                <w:kern w:val="2"/>
                <w:szCs w:val="24"/>
              </w:rPr>
              <w:t>以满足招标文件要求的最低报价为基准价，得</w:t>
            </w:r>
            <w:r>
              <w:rPr>
                <w:rFonts w:hint="eastAsia" w:ascii="楷体" w:hAnsi="楷体" w:eastAsia="楷体" w:cs="Tahoma"/>
                <w:kern w:val="2"/>
                <w:szCs w:val="24"/>
              </w:rPr>
              <w:t>30</w:t>
            </w:r>
            <w:r>
              <w:rPr>
                <w:rFonts w:ascii="楷体" w:hAnsi="楷体" w:eastAsia="楷体" w:cs="Tahoma"/>
                <w:kern w:val="2"/>
                <w:szCs w:val="24"/>
              </w:rPr>
              <w:t>分，其他报价=（基准价/报价）×</w:t>
            </w:r>
            <w:r>
              <w:rPr>
                <w:rFonts w:hint="eastAsia" w:ascii="楷体" w:hAnsi="楷体" w:eastAsia="楷体" w:cs="Tahoma"/>
                <w:kern w:val="2"/>
                <w:szCs w:val="24"/>
              </w:rPr>
              <w:t>30</w:t>
            </w:r>
            <w:r>
              <w:rPr>
                <w:rFonts w:ascii="楷体" w:hAnsi="楷体" w:eastAsia="楷体" w:cs="Tahoma"/>
                <w:kern w:val="2"/>
                <w:szCs w:val="24"/>
              </w:rPr>
              <w:t>×100%，</w:t>
            </w:r>
            <w:r>
              <w:rPr>
                <w:rFonts w:hint="eastAsia" w:ascii="楷体" w:hAnsi="楷体" w:eastAsia="楷体" w:cs="Tahoma"/>
                <w:kern w:val="2"/>
                <w:szCs w:val="24"/>
              </w:rPr>
              <w:t>结果</w:t>
            </w:r>
            <w:r>
              <w:rPr>
                <w:rFonts w:ascii="楷体" w:hAnsi="楷体" w:eastAsia="楷体" w:cs="Tahoma"/>
                <w:kern w:val="2"/>
                <w:szCs w:val="24"/>
              </w:rPr>
              <w:t>保留两位有效小数。</w:t>
            </w: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Tahoma"/>
                <w:b/>
                <w:kern w:val="2"/>
                <w:szCs w:val="24"/>
              </w:rPr>
            </w:pPr>
            <w:r>
              <w:rPr>
                <w:rFonts w:hint="eastAsia" w:ascii="楷体" w:hAnsi="楷体" w:eastAsia="楷体" w:cs="Tahoma"/>
                <w:b/>
                <w:kern w:val="2"/>
                <w:szCs w:val="24"/>
              </w:rPr>
              <w:t>30</w:t>
            </w:r>
            <w:r>
              <w:rPr>
                <w:rFonts w:ascii="楷体" w:hAnsi="楷体" w:eastAsia="楷体" w:cs="Tahoma"/>
                <w:b/>
                <w:kern w:val="2"/>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890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eastAsia="等线" w:cs="Tahoma"/>
                <w:b/>
                <w:kern w:val="2"/>
                <w:sz w:val="18"/>
                <w:szCs w:val="18"/>
              </w:rPr>
            </w:pPr>
            <w:r>
              <w:rPr>
                <w:rFonts w:ascii="宋体" w:hAnsi="宋体" w:cs="Tahoma"/>
                <w:b/>
                <w:kern w:val="2"/>
                <w:sz w:val="18"/>
                <w:szCs w:val="18"/>
              </w:rPr>
              <w:t>合计</w:t>
            </w: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Tahoma"/>
                <w:b/>
                <w:kern w:val="2"/>
                <w:szCs w:val="24"/>
              </w:rPr>
            </w:pPr>
            <w:r>
              <w:rPr>
                <w:rFonts w:ascii="楷体" w:hAnsi="楷体" w:eastAsia="楷体" w:cs="Tahoma"/>
                <w:b/>
                <w:kern w:val="2"/>
                <w:szCs w:val="24"/>
              </w:rPr>
              <w:t>100</w:t>
            </w:r>
            <w:r>
              <w:rPr>
                <w:rFonts w:hint="eastAsia" w:ascii="楷体" w:hAnsi="楷体" w:eastAsia="楷体" w:cs="Tahoma"/>
                <w:b/>
                <w:kern w:val="2"/>
                <w:szCs w:val="24"/>
              </w:rPr>
              <w:t>分分</w:t>
            </w:r>
            <w:r>
              <w:rPr>
                <w:rFonts w:ascii="楷体" w:hAnsi="楷体" w:eastAsia="楷体" w:cs="Tahoma"/>
                <w:b/>
                <w:kern w:val="2"/>
                <w:szCs w:val="24"/>
              </w:rPr>
              <w:t>分</w:t>
            </w:r>
          </w:p>
        </w:tc>
      </w:tr>
    </w:tbl>
    <w:p>
      <w:pPr>
        <w:pStyle w:val="12"/>
        <w:ind w:left="1320"/>
      </w:pPr>
    </w:p>
    <w:p/>
    <w:p/>
    <w:p>
      <w:pPr>
        <w:pStyle w:val="12"/>
        <w:ind w:left="1320"/>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2"/>
        <w:pageBreakBefore/>
        <w:rPr>
          <w:rFonts w:ascii="宋体" w:hAnsi="宋体" w:eastAsia="宋体"/>
          <w:b/>
          <w:bCs/>
          <w:sz w:val="44"/>
        </w:rPr>
      </w:pPr>
      <w:bookmarkStart w:id="168" w:name="_Toc523931349"/>
      <w:r>
        <w:rPr>
          <w:rFonts w:hint="eastAsia" w:ascii="宋体" w:hAnsi="宋体" w:eastAsia="宋体"/>
          <w:b/>
          <w:bCs/>
          <w:sz w:val="44"/>
        </w:rPr>
        <w:t>第五章  投标文件格式</w:t>
      </w:r>
      <w:bookmarkEnd w:id="168"/>
      <w:r>
        <w:rPr>
          <w:rFonts w:hint="eastAsia" w:ascii="宋体" w:hAnsi="宋体" w:eastAsia="宋体"/>
          <w:b/>
          <w:bCs/>
          <w:sz w:val="44"/>
        </w:rPr>
        <w:t xml:space="preserve"> </w:t>
      </w:r>
    </w:p>
    <w:p>
      <w:pPr>
        <w:jc w:val="center"/>
        <w:rPr>
          <w:rFonts w:ascii="宋体" w:hAnsi="宋体"/>
          <w:b/>
          <w:sz w:val="72"/>
        </w:rPr>
      </w:pPr>
      <w:bookmarkStart w:id="169" w:name="_Hlt26671244"/>
      <w:bookmarkEnd w:id="169"/>
      <w:bookmarkStart w:id="170" w:name="_Hlt26955039"/>
      <w:bookmarkEnd w:id="170"/>
      <w:bookmarkStart w:id="171" w:name="_Toc49090576"/>
      <w:bookmarkStart w:id="172" w:name="_Toc26554094"/>
      <w:bookmarkStart w:id="173"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4" w:name="_Toc517190894"/>
      <w:r>
        <w:rPr>
          <w:rFonts w:hint="eastAsia" w:ascii="宋体" w:hAnsi="宋体" w:cs="宋体"/>
          <w:b/>
        </w:rPr>
        <w:t>投标函格式</w:t>
      </w:r>
      <w:bookmarkEnd w:id="174"/>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5" w:name="_Toc517190895"/>
    </w:p>
    <w:p>
      <w:pPr>
        <w:pStyle w:val="28"/>
        <w:ind w:firstLine="0"/>
        <w:jc w:val="center"/>
        <w:rPr>
          <w:rFonts w:ascii="宋体" w:hAnsi="宋体" w:cs="宋体"/>
          <w:b/>
        </w:rPr>
      </w:pPr>
      <w:r>
        <w:rPr>
          <w:rFonts w:hint="eastAsia" w:ascii="宋体" w:hAnsi="宋体" w:cs="宋体"/>
          <w:b/>
        </w:rPr>
        <w:t>法人授权书</w:t>
      </w:r>
      <w:bookmarkEnd w:id="175"/>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rPr>
          <w:rFonts w:ascii="宋体" w:hAnsi="宋体" w:eastAsia="宋体" w:cs="宋体"/>
          <w:sz w:val="24"/>
          <w:szCs w:val="24"/>
        </w:rPr>
      </w:pPr>
      <w:bookmarkStart w:id="176" w:name="_格式3__银行出具的资信证明"/>
      <w:bookmarkEnd w:id="176"/>
      <w:bookmarkStart w:id="177" w:name="_Hlt26671380"/>
      <w:bookmarkEnd w:id="177"/>
      <w:bookmarkStart w:id="178" w:name="_Hlt26955070"/>
      <w:bookmarkEnd w:id="178"/>
    </w:p>
    <w:p>
      <w:pPr>
        <w:pStyle w:val="3"/>
        <w:rPr>
          <w:rFonts w:ascii="宋体" w:hAnsi="宋体" w:eastAsia="宋体" w:cs="宋体"/>
          <w:sz w:val="24"/>
          <w:szCs w:val="24"/>
        </w:rPr>
      </w:pPr>
    </w:p>
    <w:p>
      <w:pPr>
        <w:pStyle w:val="28"/>
        <w:pageBreakBefore/>
        <w:ind w:firstLine="0"/>
        <w:jc w:val="center"/>
        <w:rPr>
          <w:rFonts w:ascii="宋体" w:hAnsi="宋体" w:cs="宋体"/>
          <w:b/>
        </w:rPr>
      </w:pPr>
      <w:bookmarkStart w:id="179" w:name="_Toc517190896"/>
      <w:r>
        <w:rPr>
          <w:rFonts w:hint="eastAsia" w:ascii="宋体" w:hAnsi="宋体" w:cs="宋体"/>
          <w:b/>
        </w:rPr>
        <w:t>开标一览表</w:t>
      </w:r>
      <w:bookmarkEnd w:id="179"/>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 xml:space="preserve">项目编号：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8"/>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1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p>
    <w:p>
      <w:pPr>
        <w:pStyle w:val="28"/>
        <w:ind w:firstLine="0"/>
        <w:jc w:val="center"/>
        <w:rPr>
          <w:rFonts w:ascii="宋体" w:hAnsi="宋体" w:cs="宋体"/>
          <w:b/>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5"/>
        <w:gridCol w:w="1916"/>
        <w:gridCol w:w="144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445"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16"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1982"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445" w:type="dxa"/>
            <w:vAlign w:val="center"/>
          </w:tcPr>
          <w:p>
            <w:pPr>
              <w:rPr>
                <w:rFonts w:ascii="宋体" w:hAnsi="宋体" w:eastAsia="宋体" w:cs="宋体"/>
                <w:sz w:val="24"/>
                <w:szCs w:val="24"/>
              </w:rPr>
            </w:pPr>
          </w:p>
        </w:tc>
        <w:tc>
          <w:tcPr>
            <w:tcW w:w="1916"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1982"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445" w:type="dxa"/>
            <w:vAlign w:val="center"/>
          </w:tcPr>
          <w:p>
            <w:pPr>
              <w:rPr>
                <w:rFonts w:ascii="宋体" w:hAnsi="宋体" w:eastAsia="宋体" w:cs="宋体"/>
                <w:sz w:val="24"/>
                <w:szCs w:val="24"/>
              </w:rPr>
            </w:pPr>
          </w:p>
        </w:tc>
        <w:tc>
          <w:tcPr>
            <w:tcW w:w="1916"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1982"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445" w:type="dxa"/>
            <w:vAlign w:val="center"/>
          </w:tcPr>
          <w:p>
            <w:pPr>
              <w:rPr>
                <w:rFonts w:ascii="宋体" w:hAnsi="宋体" w:eastAsia="宋体" w:cs="宋体"/>
                <w:sz w:val="24"/>
                <w:szCs w:val="24"/>
              </w:rPr>
            </w:pPr>
          </w:p>
        </w:tc>
        <w:tc>
          <w:tcPr>
            <w:tcW w:w="1916"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1982"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445" w:type="dxa"/>
            <w:vAlign w:val="center"/>
          </w:tcPr>
          <w:p>
            <w:pPr>
              <w:rPr>
                <w:rFonts w:ascii="宋体" w:hAnsi="宋体" w:eastAsia="宋体" w:cs="宋体"/>
                <w:sz w:val="24"/>
                <w:szCs w:val="24"/>
              </w:rPr>
            </w:pPr>
          </w:p>
        </w:tc>
        <w:tc>
          <w:tcPr>
            <w:tcW w:w="1916"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1982"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445"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34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sz w:val="24"/>
          <w:szCs w:val="24"/>
        </w:rPr>
      </w:pPr>
      <w:r>
        <w:rPr>
          <w:rFonts w:hint="eastAsia" w:ascii="宋体" w:hAnsi="宋体" w:eastAsia="宋体" w:cs="宋体"/>
          <w:sz w:val="24"/>
          <w:szCs w:val="24"/>
        </w:rPr>
        <w:br w:type="page"/>
      </w:r>
    </w:p>
    <w:bookmarkEnd w:id="171"/>
    <w:bookmarkEnd w:id="172"/>
    <w:bookmarkEnd w:id="173"/>
    <w:p>
      <w:pPr>
        <w:jc w:val="both"/>
        <w:rPr>
          <w:rFonts w:ascii="宋体" w:hAnsi="宋体" w:eastAsia="宋体" w:cs="宋体"/>
          <w:b/>
          <w:sz w:val="24"/>
          <w:szCs w:val="24"/>
        </w:rPr>
      </w:pPr>
      <w:bookmarkStart w:id="180"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1" w:name="OLE_LINK9"/>
            <w:bookmarkStart w:id="182"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1"/>
      <w:bookmarkEnd w:id="182"/>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5"/>
      </w:pPr>
    </w:p>
    <w:p>
      <w:pPr>
        <w:pStyle w:val="5"/>
      </w:pPr>
    </w:p>
    <w:p>
      <w:pPr>
        <w:pStyle w:val="5"/>
      </w:pPr>
    </w:p>
    <w:p>
      <w:pPr>
        <w:pStyle w:val="5"/>
      </w:pPr>
    </w:p>
    <w:p>
      <w:pPr>
        <w:pStyle w:val="5"/>
      </w:pPr>
    </w:p>
    <w:bookmarkEnd w:id="180"/>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spacing w:line="400" w:lineRule="exact"/>
        <w:jc w:val="center"/>
        <w:rPr>
          <w:rFonts w:ascii="宋体" w:hAnsi="宋体" w:cs="宋体"/>
          <w:b/>
          <w:sz w:val="24"/>
        </w:rPr>
      </w:pPr>
      <w:r>
        <w:rPr>
          <w:rFonts w:hint="eastAsia" w:ascii="宋体" w:hAnsi="宋体" w:cs="宋体"/>
          <w:b/>
          <w:sz w:val="24"/>
        </w:rPr>
        <w:t>南京医科大学技术服务合同</w:t>
      </w:r>
    </w:p>
    <w:p>
      <w:pPr>
        <w:pStyle w:val="28"/>
        <w:spacing w:before="0" w:after="0" w:line="420" w:lineRule="exact"/>
        <w:ind w:firstLineChars="200"/>
        <w:rPr>
          <w:rFonts w:ascii="宋体" w:hAnsi="宋体" w:cs="宋体"/>
          <w:kern w:val="2"/>
        </w:rPr>
      </w:pPr>
      <w:r>
        <w:rPr>
          <w:rFonts w:hint="eastAsia" w:ascii="宋体" w:hAnsi="宋体" w:cs="宋体"/>
          <w:kern w:val="2"/>
        </w:rPr>
        <w:t>委托方（甲方）： 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地址： </w:t>
      </w:r>
    </w:p>
    <w:p>
      <w:pPr>
        <w:pStyle w:val="28"/>
        <w:spacing w:before="0" w:after="0" w:line="420" w:lineRule="exact"/>
        <w:ind w:firstLineChars="200"/>
        <w:rPr>
          <w:rFonts w:ascii="宋体" w:hAnsi="宋体" w:cs="宋体"/>
          <w:kern w:val="2"/>
        </w:rPr>
      </w:pPr>
      <w:r>
        <w:rPr>
          <w:rFonts w:hint="eastAsia" w:ascii="宋体" w:hAnsi="宋体" w:cs="宋体"/>
          <w:kern w:val="2"/>
        </w:rPr>
        <w:t xml:space="preserve">联系方式：                                     </w:t>
      </w:r>
    </w:p>
    <w:p>
      <w:pPr>
        <w:pStyle w:val="28"/>
        <w:spacing w:before="0" w:after="0" w:line="420" w:lineRule="exact"/>
        <w:ind w:firstLineChars="200"/>
        <w:rPr>
          <w:rFonts w:ascii="宋体" w:hAnsi="宋体" w:cs="宋体"/>
          <w:kern w:val="2"/>
        </w:rPr>
      </w:pPr>
      <w:r>
        <w:rPr>
          <w:rFonts w:hint="eastAsia" w:ascii="宋体" w:hAnsi="宋体" w:cs="宋体"/>
          <w:kern w:val="2"/>
        </w:rPr>
        <w:t xml:space="preserve">受托方（乙方）： </w:t>
      </w:r>
    </w:p>
    <w:p>
      <w:pPr>
        <w:pStyle w:val="28"/>
        <w:spacing w:before="0" w:after="0" w:line="420" w:lineRule="exact"/>
        <w:ind w:firstLineChars="200"/>
        <w:rPr>
          <w:rFonts w:ascii="宋体" w:hAnsi="宋体" w:cs="宋体"/>
          <w:kern w:val="2"/>
        </w:rPr>
      </w:pPr>
      <w:r>
        <w:rPr>
          <w:rFonts w:hint="eastAsia" w:ascii="宋体" w:hAnsi="宋体" w:cs="宋体"/>
          <w:kern w:val="2"/>
        </w:rPr>
        <w:t xml:space="preserve">地址： </w:t>
      </w:r>
    </w:p>
    <w:p>
      <w:pPr>
        <w:pStyle w:val="28"/>
        <w:spacing w:before="0" w:after="0" w:line="420" w:lineRule="exact"/>
        <w:ind w:firstLineChars="200"/>
        <w:rPr>
          <w:rFonts w:ascii="宋体" w:hAnsi="宋体" w:cs="宋体"/>
          <w:kern w:val="2"/>
        </w:rPr>
      </w:pPr>
      <w:r>
        <w:rPr>
          <w:rFonts w:hint="eastAsia" w:ascii="宋体" w:hAnsi="宋体" w:cs="宋体"/>
          <w:kern w:val="2"/>
        </w:rPr>
        <w:t xml:space="preserve">联系方式：                                   </w:t>
      </w:r>
    </w:p>
    <w:p>
      <w:pPr>
        <w:pStyle w:val="28"/>
        <w:spacing w:before="0" w:after="0" w:line="420" w:lineRule="exact"/>
        <w:ind w:firstLineChars="200"/>
        <w:rPr>
          <w:rFonts w:ascii="宋体" w:hAnsi="宋体" w:cs="宋体"/>
          <w:kern w:val="2"/>
        </w:rPr>
      </w:pPr>
      <w:r>
        <w:rPr>
          <w:rFonts w:hint="eastAsia" w:ascii="宋体" w:hAnsi="宋体" w:cs="宋体"/>
          <w:kern w:val="2"/>
        </w:rPr>
        <w:t>甲方委托乙方就甲方_________项目（项目编号：）提供                       专项技术服务，甲方支付相应的技术服务报酬。双方经过平等协商，在真实、充分地表达各自意愿的基础上，根据《中华人民共和国民法典》的规定，达成如下协议，并由双方共同恪守。</w:t>
      </w:r>
    </w:p>
    <w:p>
      <w:pPr>
        <w:pStyle w:val="28"/>
        <w:spacing w:before="0" w:after="0" w:line="420" w:lineRule="exact"/>
        <w:ind w:firstLineChars="200"/>
        <w:rPr>
          <w:rFonts w:ascii="宋体" w:hAnsi="宋体" w:cs="宋体"/>
          <w:kern w:val="2"/>
        </w:rPr>
      </w:pPr>
      <w:r>
        <w:rPr>
          <w:rFonts w:hint="eastAsia" w:ascii="宋体" w:hAnsi="宋体" w:cs="宋体"/>
          <w:kern w:val="2"/>
        </w:rPr>
        <w:t>第一条 甲方委托乙方进行技术服务的内容如下：</w:t>
      </w:r>
    </w:p>
    <w:p>
      <w:pPr>
        <w:pStyle w:val="28"/>
        <w:spacing w:before="0" w:after="0" w:line="420" w:lineRule="exact"/>
        <w:ind w:firstLineChars="200"/>
        <w:rPr>
          <w:rFonts w:ascii="宋体" w:hAnsi="宋体" w:cs="宋体"/>
          <w:kern w:val="2"/>
        </w:rPr>
      </w:pPr>
      <w:r>
        <w:rPr>
          <w:rFonts w:hint="eastAsia" w:ascii="宋体" w:hAnsi="宋体" w:cs="宋体"/>
          <w:kern w:val="2"/>
        </w:rPr>
        <w:t>1．技术服务的目标：通过计算机虚拟仿真技术完整呈现甲方开发意愿，技术参数要求详见附件。</w:t>
      </w:r>
    </w:p>
    <w:p>
      <w:pPr>
        <w:pStyle w:val="28"/>
        <w:spacing w:before="0" w:after="0" w:line="420" w:lineRule="exact"/>
        <w:ind w:firstLineChars="200"/>
        <w:rPr>
          <w:rFonts w:ascii="宋体" w:hAnsi="宋体" w:cs="宋体"/>
          <w:kern w:val="2"/>
        </w:rPr>
      </w:pPr>
      <w:r>
        <w:rPr>
          <w:rFonts w:hint="eastAsia" w:ascii="宋体" w:hAnsi="宋体" w:cs="宋体"/>
          <w:kern w:val="2"/>
        </w:rPr>
        <w:t xml:space="preserve">2．技术服务的内容： </w:t>
      </w:r>
    </w:p>
    <w:p>
      <w:pPr>
        <w:pStyle w:val="28"/>
        <w:spacing w:before="0" w:after="0" w:line="420" w:lineRule="exact"/>
        <w:ind w:firstLineChars="200"/>
        <w:rPr>
          <w:rFonts w:ascii="宋体" w:hAnsi="宋体" w:cs="宋体"/>
          <w:kern w:val="2"/>
        </w:rPr>
      </w:pPr>
      <w:r>
        <w:rPr>
          <w:rFonts w:hint="eastAsia" w:ascii="宋体" w:hAnsi="宋体" w:cs="宋体"/>
          <w:kern w:val="2"/>
        </w:rPr>
        <w:t xml:space="preserve">3．技术服务的方式： </w:t>
      </w:r>
    </w:p>
    <w:p>
      <w:pPr>
        <w:pStyle w:val="28"/>
        <w:spacing w:before="0" w:after="0" w:line="420" w:lineRule="exact"/>
        <w:ind w:firstLineChars="200"/>
        <w:rPr>
          <w:rFonts w:ascii="宋体" w:hAnsi="宋体" w:cs="宋体"/>
          <w:kern w:val="2"/>
        </w:rPr>
      </w:pPr>
      <w:r>
        <w:rPr>
          <w:rFonts w:hint="eastAsia" w:ascii="宋体" w:hAnsi="宋体" w:cs="宋体"/>
          <w:kern w:val="2"/>
        </w:rPr>
        <w:t>第二条 乙方应按下列要求完成技术服务工作：</w:t>
      </w:r>
    </w:p>
    <w:p>
      <w:pPr>
        <w:pStyle w:val="28"/>
        <w:spacing w:before="0" w:after="0" w:line="420" w:lineRule="exact"/>
        <w:ind w:firstLineChars="200"/>
        <w:rPr>
          <w:rFonts w:ascii="宋体" w:hAnsi="宋体" w:cs="宋体"/>
          <w:kern w:val="2"/>
        </w:rPr>
      </w:pPr>
      <w:r>
        <w:rPr>
          <w:rFonts w:hint="eastAsia" w:ascii="宋体" w:hAnsi="宋体" w:cs="宋体"/>
          <w:kern w:val="2"/>
        </w:rPr>
        <w:t xml:space="preserve">1．技术服务地点： </w:t>
      </w:r>
    </w:p>
    <w:p>
      <w:pPr>
        <w:pStyle w:val="28"/>
        <w:spacing w:before="0" w:after="0" w:line="420" w:lineRule="exact"/>
        <w:ind w:firstLineChars="200"/>
        <w:rPr>
          <w:rFonts w:ascii="宋体" w:hAnsi="宋体" w:cs="宋体"/>
          <w:kern w:val="2"/>
        </w:rPr>
      </w:pPr>
      <w:r>
        <w:rPr>
          <w:rFonts w:hint="eastAsia" w:ascii="宋体" w:hAnsi="宋体" w:cs="宋体"/>
          <w:kern w:val="2"/>
        </w:rPr>
        <w:t xml:space="preserve">2．技术服务期限： </w:t>
      </w:r>
    </w:p>
    <w:p>
      <w:pPr>
        <w:pStyle w:val="28"/>
        <w:spacing w:before="0" w:after="0" w:line="420" w:lineRule="exact"/>
        <w:ind w:firstLineChars="200"/>
        <w:rPr>
          <w:rFonts w:ascii="宋体" w:hAnsi="宋体" w:cs="宋体"/>
          <w:kern w:val="2"/>
        </w:rPr>
      </w:pPr>
      <w:r>
        <w:rPr>
          <w:rFonts w:hint="eastAsia" w:ascii="宋体" w:hAnsi="宋体" w:cs="宋体"/>
          <w:kern w:val="2"/>
        </w:rPr>
        <w:t xml:space="preserve">3．技术服务进度： </w:t>
      </w:r>
    </w:p>
    <w:p>
      <w:pPr>
        <w:pStyle w:val="28"/>
        <w:spacing w:before="0" w:after="0" w:line="420" w:lineRule="exact"/>
        <w:ind w:firstLineChars="200"/>
        <w:rPr>
          <w:rFonts w:ascii="宋体" w:hAnsi="宋体" w:cs="宋体"/>
          <w:kern w:val="2"/>
        </w:rPr>
      </w:pPr>
      <w:r>
        <w:rPr>
          <w:rFonts w:hint="eastAsia" w:ascii="宋体" w:hAnsi="宋体" w:cs="宋体"/>
          <w:kern w:val="2"/>
        </w:rPr>
        <w:t>4．技术服务质量要求：</w:t>
      </w:r>
    </w:p>
    <w:p>
      <w:pPr>
        <w:pStyle w:val="28"/>
        <w:spacing w:before="0" w:after="0" w:line="420" w:lineRule="exact"/>
        <w:ind w:firstLineChars="200"/>
        <w:rPr>
          <w:rFonts w:ascii="宋体" w:hAnsi="宋体" w:cs="宋体"/>
          <w:kern w:val="2"/>
        </w:rPr>
      </w:pPr>
      <w:r>
        <w:rPr>
          <w:rFonts w:hint="eastAsia" w:ascii="宋体" w:hAnsi="宋体" w:cs="宋体"/>
          <w:kern w:val="2"/>
        </w:rPr>
        <w:t>（1）要求项目运行流畅，可以和学校虚拟仿真平台实现无缝对接，达到不限制点数使用的要求；</w:t>
      </w:r>
    </w:p>
    <w:p>
      <w:pPr>
        <w:pStyle w:val="28"/>
        <w:spacing w:before="0" w:after="0" w:line="420" w:lineRule="exact"/>
        <w:ind w:firstLineChars="200"/>
        <w:rPr>
          <w:rFonts w:ascii="宋体" w:hAnsi="宋体" w:cs="宋体"/>
          <w:kern w:val="2"/>
        </w:rPr>
      </w:pPr>
      <w:r>
        <w:rPr>
          <w:rFonts w:hint="eastAsia" w:ascii="宋体" w:hAnsi="宋体" w:cs="宋体"/>
          <w:kern w:val="2"/>
        </w:rPr>
        <w:t>（2）要求项目流程和内容设计科学严谨，界面美观大方，运行流畅，支持实验成绩的上传，依托平台可生成实验报告；</w:t>
      </w:r>
    </w:p>
    <w:p>
      <w:pPr>
        <w:pStyle w:val="28"/>
        <w:spacing w:before="0" w:after="0" w:line="420" w:lineRule="exact"/>
        <w:ind w:firstLineChars="200"/>
        <w:rPr>
          <w:rFonts w:ascii="宋体" w:hAnsi="宋体" w:cs="宋体"/>
          <w:kern w:val="2"/>
        </w:rPr>
      </w:pPr>
      <w:r>
        <w:rPr>
          <w:rFonts w:hint="eastAsia" w:ascii="宋体" w:hAnsi="宋体" w:cs="宋体"/>
          <w:kern w:val="2"/>
        </w:rPr>
        <w:t>（3）满足与省平台和教育部平台申报对接的要求，并做出及时的响应服务。</w:t>
      </w:r>
    </w:p>
    <w:p>
      <w:pPr>
        <w:pStyle w:val="28"/>
        <w:spacing w:before="0" w:after="0" w:line="420" w:lineRule="exact"/>
        <w:ind w:firstLineChars="200"/>
        <w:rPr>
          <w:rFonts w:ascii="宋体" w:hAnsi="宋体" w:cs="宋体"/>
          <w:kern w:val="2"/>
        </w:rPr>
      </w:pPr>
      <w:r>
        <w:rPr>
          <w:rFonts w:hint="eastAsia" w:ascii="宋体" w:hAnsi="宋体" w:cs="宋体"/>
          <w:kern w:val="2"/>
        </w:rPr>
        <w:t>5．技术服务质量期限要求：乙方提供不少于四年的技术服务质量保障。</w:t>
      </w:r>
    </w:p>
    <w:p>
      <w:pPr>
        <w:pStyle w:val="28"/>
        <w:spacing w:before="0" w:after="0" w:line="420" w:lineRule="exact"/>
        <w:ind w:firstLineChars="200"/>
        <w:rPr>
          <w:rFonts w:ascii="宋体" w:hAnsi="宋体" w:cs="宋体"/>
          <w:kern w:val="2"/>
        </w:rPr>
      </w:pPr>
      <w:r>
        <w:rPr>
          <w:rFonts w:hint="eastAsia" w:ascii="宋体" w:hAnsi="宋体" w:cs="宋体"/>
          <w:kern w:val="2"/>
        </w:rPr>
        <w:t>6. 后续服务要求：如后续开发过程中甲方及第三方需要乙方协助，乙方应当无条件配合，包括但不仅限于提供系统接口、技术服务、数据对接。</w:t>
      </w:r>
    </w:p>
    <w:p>
      <w:pPr>
        <w:pStyle w:val="28"/>
        <w:spacing w:before="0" w:after="0" w:line="420" w:lineRule="exact"/>
        <w:ind w:firstLineChars="200"/>
        <w:rPr>
          <w:rFonts w:ascii="宋体" w:hAnsi="宋体" w:cs="宋体"/>
          <w:kern w:val="2"/>
        </w:rPr>
      </w:pPr>
      <w:r>
        <w:rPr>
          <w:rFonts w:hint="eastAsia" w:ascii="宋体" w:hAnsi="宋体" w:cs="宋体"/>
          <w:kern w:val="2"/>
        </w:rPr>
        <w:t>第三条 为保证乙方有效进行技术服务工作，甲方应当向乙方提供下列工作条件和协作事项：</w:t>
      </w:r>
    </w:p>
    <w:p>
      <w:pPr>
        <w:pStyle w:val="28"/>
        <w:spacing w:before="0" w:after="0" w:line="420" w:lineRule="exact"/>
        <w:ind w:firstLineChars="200"/>
        <w:rPr>
          <w:rFonts w:ascii="宋体" w:hAnsi="宋体" w:cs="宋体"/>
          <w:kern w:val="2"/>
        </w:rPr>
      </w:pPr>
      <w:r>
        <w:rPr>
          <w:rFonts w:hint="eastAsia" w:ascii="宋体" w:hAnsi="宋体" w:cs="宋体"/>
          <w:kern w:val="2"/>
        </w:rPr>
        <w:t>1．提供技术资料：</w:t>
      </w:r>
    </w:p>
    <w:p>
      <w:pPr>
        <w:pStyle w:val="28"/>
        <w:spacing w:before="0" w:after="0" w:line="420" w:lineRule="exact"/>
        <w:ind w:firstLineChars="200"/>
        <w:rPr>
          <w:rFonts w:ascii="宋体" w:hAnsi="宋体" w:cs="宋体"/>
          <w:kern w:val="2"/>
        </w:rPr>
      </w:pPr>
      <w:r>
        <w:rPr>
          <w:rFonts w:hint="eastAsia" w:ascii="宋体" w:hAnsi="宋体" w:cs="宋体"/>
          <w:kern w:val="2"/>
        </w:rPr>
        <w:t xml:space="preserve">2．提供工作条件：（1） 如乙方技术人员驻场提供服务，除乙方自备办公笔记本外，甲方需提供必要的办公条件（桌椅、网络环境、电源接线头、测试电脑等）；                                                   ；            </w:t>
      </w:r>
    </w:p>
    <w:p>
      <w:pPr>
        <w:pStyle w:val="28"/>
        <w:spacing w:before="0" w:after="0" w:line="420" w:lineRule="exact"/>
        <w:ind w:firstLineChars="200"/>
        <w:rPr>
          <w:rFonts w:ascii="宋体" w:hAnsi="宋体" w:cs="宋体"/>
          <w:kern w:val="2"/>
        </w:rPr>
      </w:pPr>
      <w:r>
        <w:rPr>
          <w:rFonts w:hint="eastAsia" w:ascii="宋体" w:hAnsi="宋体" w:cs="宋体"/>
          <w:kern w:val="2"/>
        </w:rPr>
        <w:t>3．其他：                /                             。                                                              第四条 技术服务费及支付方式</w:t>
      </w:r>
    </w:p>
    <w:p>
      <w:pPr>
        <w:pStyle w:val="28"/>
        <w:spacing w:before="0" w:after="0" w:line="420" w:lineRule="exact"/>
        <w:ind w:firstLineChars="200"/>
        <w:rPr>
          <w:rFonts w:ascii="宋体" w:hAnsi="宋体" w:cs="宋体"/>
          <w:kern w:val="2"/>
        </w:rPr>
      </w:pPr>
      <w:r>
        <w:rPr>
          <w:rFonts w:hint="eastAsia" w:ascii="宋体" w:hAnsi="宋体" w:cs="宋体"/>
          <w:kern w:val="2"/>
        </w:rPr>
        <w:t>1．技术服务费总额为：  ；</w:t>
      </w:r>
    </w:p>
    <w:p>
      <w:pPr>
        <w:pStyle w:val="28"/>
        <w:spacing w:before="0" w:after="0" w:line="420" w:lineRule="exact"/>
        <w:ind w:firstLineChars="200"/>
        <w:rPr>
          <w:rFonts w:ascii="宋体" w:hAnsi="宋体" w:cs="宋体"/>
          <w:kern w:val="2"/>
        </w:rPr>
      </w:pPr>
      <w:r>
        <w:rPr>
          <w:rFonts w:hint="eastAsia" w:ascii="宋体" w:hAnsi="宋体" w:cs="宋体"/>
          <w:kern w:val="2"/>
        </w:rPr>
        <w:t xml:space="preserve">2．技术服务费由甲方  分期  （一次或分期）支付给乙方。 </w:t>
      </w:r>
    </w:p>
    <w:p>
      <w:pPr>
        <w:pStyle w:val="28"/>
        <w:spacing w:before="0" w:after="0" w:line="420" w:lineRule="exact"/>
        <w:ind w:firstLineChars="200"/>
        <w:rPr>
          <w:rFonts w:ascii="宋体" w:hAnsi="宋体" w:cs="宋体"/>
          <w:kern w:val="2"/>
        </w:rPr>
      </w:pPr>
      <w:r>
        <w:rPr>
          <w:rFonts w:hint="eastAsia" w:ascii="宋体" w:hAnsi="宋体" w:cs="宋体"/>
          <w:kern w:val="2"/>
        </w:rPr>
        <w:t>具体支付方式和时间如下：</w:t>
      </w:r>
    </w:p>
    <w:p>
      <w:pPr>
        <w:pStyle w:val="28"/>
        <w:spacing w:before="0" w:after="0" w:line="420" w:lineRule="exact"/>
        <w:ind w:firstLineChars="200"/>
        <w:rPr>
          <w:rFonts w:ascii="宋体" w:hAnsi="宋体" w:cs="宋体"/>
          <w:kern w:val="2"/>
        </w:rPr>
      </w:pPr>
      <w:r>
        <w:rPr>
          <w:rFonts w:hint="eastAsia" w:ascii="宋体" w:hAnsi="宋体" w:cs="宋体"/>
          <w:kern w:val="2"/>
        </w:rPr>
        <w:t>3、付款方式：合同签订后，乙方向甲方开具发票，甲方自收到发票后15 日内支付合同总价的30%；项目整体验收合格且正常运行一周后，乙方向甲方开具发票，甲方自收到发票后15日内支付合同总价的70%。</w:t>
      </w:r>
    </w:p>
    <w:p>
      <w:pPr>
        <w:pStyle w:val="28"/>
        <w:spacing w:before="0" w:after="0" w:line="420" w:lineRule="exact"/>
        <w:ind w:firstLineChars="200"/>
        <w:rPr>
          <w:rFonts w:ascii="宋体" w:hAnsi="宋体" w:cs="宋体"/>
          <w:kern w:val="2"/>
        </w:rPr>
      </w:pPr>
      <w:r>
        <w:rPr>
          <w:rFonts w:hint="eastAsia" w:ascii="宋体" w:hAnsi="宋体" w:cs="宋体"/>
          <w:kern w:val="2"/>
        </w:rPr>
        <w:t>乙方开户银行名称、账户名称和账号为：</w:t>
      </w:r>
    </w:p>
    <w:p>
      <w:pPr>
        <w:pStyle w:val="28"/>
        <w:spacing w:before="0" w:after="0" w:line="420" w:lineRule="exact"/>
        <w:ind w:firstLineChars="200"/>
        <w:rPr>
          <w:rFonts w:ascii="宋体" w:hAnsi="宋体" w:cs="宋体"/>
          <w:kern w:val="2"/>
        </w:rPr>
      </w:pPr>
      <w:r>
        <w:rPr>
          <w:rFonts w:hint="eastAsia" w:ascii="宋体" w:hAnsi="宋体" w:cs="宋体"/>
          <w:kern w:val="2"/>
        </w:rPr>
        <w:t xml:space="preserve">开户银行： </w:t>
      </w:r>
    </w:p>
    <w:p>
      <w:pPr>
        <w:pStyle w:val="28"/>
        <w:spacing w:before="0" w:after="0" w:line="420" w:lineRule="exact"/>
        <w:ind w:firstLineChars="200"/>
        <w:rPr>
          <w:rFonts w:ascii="宋体" w:hAnsi="宋体" w:cs="宋体"/>
          <w:kern w:val="2"/>
        </w:rPr>
      </w:pPr>
      <w:r>
        <w:rPr>
          <w:rFonts w:hint="eastAsia" w:ascii="宋体" w:hAnsi="宋体" w:cs="宋体"/>
          <w:kern w:val="2"/>
        </w:rPr>
        <w:t>账户名称：</w:t>
      </w:r>
    </w:p>
    <w:p>
      <w:pPr>
        <w:pStyle w:val="28"/>
        <w:spacing w:before="0" w:after="0" w:line="420" w:lineRule="exact"/>
        <w:ind w:firstLineChars="200"/>
        <w:rPr>
          <w:rFonts w:ascii="宋体" w:hAnsi="宋体" w:cs="宋体"/>
          <w:kern w:val="2"/>
        </w:rPr>
      </w:pPr>
      <w:r>
        <w:rPr>
          <w:rFonts w:hint="eastAsia" w:ascii="宋体" w:hAnsi="宋体" w:cs="宋体"/>
          <w:kern w:val="2"/>
        </w:rPr>
        <w:t xml:space="preserve">帐    号：                               </w:t>
      </w:r>
    </w:p>
    <w:p>
      <w:pPr>
        <w:pStyle w:val="28"/>
        <w:spacing w:before="0" w:after="0" w:line="420" w:lineRule="exact"/>
        <w:ind w:firstLineChars="200"/>
        <w:rPr>
          <w:rFonts w:ascii="宋体" w:hAnsi="宋体" w:cs="宋体"/>
          <w:kern w:val="2"/>
        </w:rPr>
      </w:pPr>
      <w:r>
        <w:rPr>
          <w:rFonts w:hint="eastAsia" w:ascii="宋体" w:hAnsi="宋体" w:cs="宋体"/>
          <w:kern w:val="2"/>
        </w:rPr>
        <w:t>第五条 双方确定因履行本合同应遵守的保密义务如下：</w:t>
      </w:r>
    </w:p>
    <w:p>
      <w:pPr>
        <w:pStyle w:val="28"/>
        <w:spacing w:before="0" w:after="0" w:line="420" w:lineRule="exact"/>
        <w:ind w:firstLineChars="200"/>
        <w:rPr>
          <w:rFonts w:ascii="宋体" w:hAnsi="宋体" w:cs="宋体"/>
          <w:kern w:val="2"/>
        </w:rPr>
      </w:pPr>
      <w:r>
        <w:rPr>
          <w:rFonts w:hint="eastAsia" w:ascii="宋体" w:hAnsi="宋体" w:cs="宋体"/>
          <w:kern w:val="2"/>
        </w:rPr>
        <w:t>5.1.甲方：</w:t>
      </w:r>
    </w:p>
    <w:p>
      <w:pPr>
        <w:pStyle w:val="28"/>
        <w:spacing w:before="0" w:after="0" w:line="420" w:lineRule="exact"/>
        <w:ind w:firstLineChars="200"/>
        <w:rPr>
          <w:rFonts w:ascii="宋体" w:hAnsi="宋体" w:cs="宋体"/>
          <w:kern w:val="2"/>
        </w:rPr>
      </w:pPr>
      <w:r>
        <w:rPr>
          <w:rFonts w:hint="eastAsia" w:ascii="宋体" w:hAnsi="宋体" w:cs="宋体"/>
          <w:kern w:val="2"/>
        </w:rPr>
        <w:t>5.1.1.保密内容（包括技术信息和经营信息）: 乙方公司技术信息；                          5.1.2.涉密人员范围:甲方项目使用及负责人；</w:t>
      </w:r>
    </w:p>
    <w:p>
      <w:pPr>
        <w:pStyle w:val="28"/>
        <w:spacing w:before="0" w:after="0" w:line="420" w:lineRule="exact"/>
        <w:ind w:firstLineChars="200"/>
        <w:rPr>
          <w:rFonts w:ascii="宋体" w:hAnsi="宋体" w:cs="宋体"/>
          <w:kern w:val="2"/>
        </w:rPr>
      </w:pPr>
      <w:r>
        <w:rPr>
          <w:rFonts w:hint="eastAsia" w:ascii="宋体" w:hAnsi="宋体" w:cs="宋体"/>
          <w:kern w:val="2"/>
        </w:rPr>
        <w:t xml:space="preserve">5.1.3.保密期限：2年；                           </w:t>
      </w:r>
    </w:p>
    <w:p>
      <w:pPr>
        <w:pStyle w:val="28"/>
        <w:spacing w:before="0" w:after="0" w:line="420" w:lineRule="exact"/>
        <w:ind w:firstLineChars="200"/>
        <w:rPr>
          <w:rFonts w:ascii="宋体" w:hAnsi="宋体" w:cs="宋体"/>
          <w:kern w:val="2"/>
        </w:rPr>
      </w:pPr>
      <w:r>
        <w:rPr>
          <w:rFonts w:hint="eastAsia" w:ascii="宋体" w:hAnsi="宋体" w:cs="宋体"/>
          <w:kern w:val="2"/>
        </w:rPr>
        <w:t>5.1.4.泄密责任：追究相应法律责任。</w:t>
      </w:r>
    </w:p>
    <w:p>
      <w:pPr>
        <w:pStyle w:val="28"/>
        <w:spacing w:before="0" w:after="0" w:line="420" w:lineRule="exact"/>
        <w:ind w:firstLineChars="200"/>
        <w:rPr>
          <w:rFonts w:ascii="宋体" w:hAnsi="宋体" w:cs="宋体"/>
          <w:kern w:val="2"/>
        </w:rPr>
      </w:pPr>
      <w:r>
        <w:rPr>
          <w:rFonts w:hint="eastAsia" w:ascii="宋体" w:hAnsi="宋体" w:cs="宋体"/>
          <w:kern w:val="2"/>
        </w:rPr>
        <w:t>5.2.乙方：</w:t>
      </w:r>
    </w:p>
    <w:p>
      <w:pPr>
        <w:pStyle w:val="28"/>
        <w:spacing w:before="0" w:after="0" w:line="420" w:lineRule="exact"/>
        <w:ind w:firstLineChars="200"/>
        <w:rPr>
          <w:rFonts w:ascii="宋体" w:hAnsi="宋体" w:cs="宋体"/>
          <w:kern w:val="2"/>
        </w:rPr>
      </w:pPr>
      <w:r>
        <w:rPr>
          <w:rFonts w:hint="eastAsia" w:ascii="宋体" w:hAnsi="宋体" w:cs="宋体"/>
          <w:kern w:val="2"/>
        </w:rPr>
        <w:t>5.2.1.保密内容（包括技术信息和经营信息）: 项目课题、脚本信息等所有由甲方提供给乙方的材料，以及乙方在为学校提供项目服务过程中获得的甲方工作秘密信息，包括但不限于文件、数据、设计和清单等应仍为甲方的财产，在甲方要求时应立即归还原件和据此制作的副本，并删除存储于乙方电脑、服务器或其他存储介质的相关信息。</w:t>
      </w:r>
    </w:p>
    <w:p>
      <w:pPr>
        <w:pStyle w:val="28"/>
        <w:spacing w:before="0" w:after="0" w:line="420" w:lineRule="exact"/>
        <w:ind w:firstLineChars="200"/>
        <w:rPr>
          <w:rFonts w:ascii="宋体" w:hAnsi="宋体" w:cs="宋体"/>
          <w:kern w:val="2"/>
        </w:rPr>
      </w:pPr>
      <w:r>
        <w:rPr>
          <w:rFonts w:hint="eastAsia" w:ascii="宋体" w:hAnsi="宋体" w:cs="宋体"/>
          <w:kern w:val="2"/>
        </w:rPr>
        <w:t>（1）不刺探非本职工作所需要的工作秘密信息；</w:t>
      </w:r>
    </w:p>
    <w:p>
      <w:pPr>
        <w:pStyle w:val="28"/>
        <w:spacing w:before="0" w:after="0" w:line="420" w:lineRule="exact"/>
        <w:ind w:firstLineChars="200"/>
        <w:rPr>
          <w:rFonts w:ascii="宋体" w:hAnsi="宋体" w:cs="宋体"/>
          <w:kern w:val="2"/>
        </w:rPr>
      </w:pPr>
      <w:r>
        <w:rPr>
          <w:rFonts w:hint="eastAsia" w:ascii="宋体" w:hAnsi="宋体" w:cs="宋体"/>
          <w:kern w:val="2"/>
        </w:rPr>
        <w:t>（2）不向任何第三人披露甲方的工作秘密信息；</w:t>
      </w:r>
    </w:p>
    <w:p>
      <w:pPr>
        <w:pStyle w:val="28"/>
        <w:spacing w:before="0" w:after="0" w:line="420" w:lineRule="exact"/>
        <w:ind w:firstLineChars="200"/>
        <w:rPr>
          <w:rFonts w:ascii="宋体" w:hAnsi="宋体" w:cs="宋体"/>
          <w:kern w:val="2"/>
        </w:rPr>
      </w:pPr>
      <w:r>
        <w:rPr>
          <w:rFonts w:hint="eastAsia" w:ascii="宋体" w:hAnsi="宋体" w:cs="宋体"/>
          <w:kern w:val="2"/>
        </w:rPr>
        <w:t>（3）除非为乙方为甲方项目工作需要而使用的工作秘密信息外，未经甲方事先书面许可，不以任何方式自行使用业务工作秘密信息，而且不以任何方式许可或协助他人使用业务工作秘密信息；</w:t>
      </w:r>
    </w:p>
    <w:p>
      <w:pPr>
        <w:pStyle w:val="28"/>
        <w:spacing w:before="0" w:after="0" w:line="420" w:lineRule="exact"/>
        <w:ind w:firstLineChars="200"/>
        <w:rPr>
          <w:rFonts w:ascii="宋体" w:hAnsi="宋体" w:cs="宋体"/>
          <w:kern w:val="2"/>
        </w:rPr>
      </w:pPr>
      <w:r>
        <w:rPr>
          <w:rFonts w:hint="eastAsia" w:ascii="宋体" w:hAnsi="宋体" w:cs="宋体"/>
          <w:kern w:val="2"/>
        </w:rPr>
        <w:t>（4）不利用所知悉的甲方工作秘密信息从事有损甲方或甲方关联单位利益的经营、交易等行为；</w:t>
      </w:r>
    </w:p>
    <w:p>
      <w:pPr>
        <w:pStyle w:val="28"/>
        <w:spacing w:before="0" w:after="0" w:line="420" w:lineRule="exact"/>
        <w:ind w:firstLineChars="200"/>
        <w:rPr>
          <w:rFonts w:ascii="宋体" w:hAnsi="宋体" w:cs="宋体"/>
          <w:kern w:val="2"/>
        </w:rPr>
      </w:pPr>
      <w:r>
        <w:rPr>
          <w:rFonts w:hint="eastAsia" w:ascii="宋体" w:hAnsi="宋体" w:cs="宋体"/>
          <w:kern w:val="2"/>
        </w:rPr>
        <w:t>（5）如发现工作秘密信息被乙方或乙方员工泄露，应当立即采取有效措施防止泄密进一步扩大，并及时向甲方相关部门报告；</w:t>
      </w:r>
    </w:p>
    <w:p>
      <w:pPr>
        <w:pStyle w:val="28"/>
        <w:spacing w:before="0" w:after="0" w:line="420" w:lineRule="exact"/>
        <w:ind w:firstLineChars="200"/>
        <w:rPr>
          <w:rFonts w:ascii="宋体" w:hAnsi="宋体" w:cs="宋体"/>
          <w:kern w:val="2"/>
        </w:rPr>
      </w:pPr>
      <w:r>
        <w:rPr>
          <w:rFonts w:hint="eastAsia" w:ascii="宋体" w:hAnsi="宋体" w:cs="宋体"/>
          <w:kern w:val="2"/>
        </w:rPr>
        <w:t>（6）其他本着诚实信用原则应当承担的保密的义务。                             5.2.2.涉密人员范围: 项目开发团队</w:t>
      </w:r>
    </w:p>
    <w:p>
      <w:pPr>
        <w:pStyle w:val="28"/>
        <w:spacing w:before="0" w:after="0" w:line="420" w:lineRule="exact"/>
        <w:ind w:firstLineChars="200"/>
        <w:rPr>
          <w:rFonts w:ascii="宋体" w:hAnsi="宋体" w:cs="宋体"/>
          <w:kern w:val="2"/>
        </w:rPr>
      </w:pPr>
      <w:r>
        <w:rPr>
          <w:rFonts w:hint="eastAsia" w:ascii="宋体" w:hAnsi="宋体" w:cs="宋体"/>
          <w:kern w:val="2"/>
        </w:rPr>
        <w:t xml:space="preserve">5.2.3.保密期限：永久期限                               </w:t>
      </w:r>
    </w:p>
    <w:p>
      <w:pPr>
        <w:pStyle w:val="28"/>
        <w:spacing w:before="0" w:after="0" w:line="420" w:lineRule="exact"/>
        <w:ind w:firstLineChars="200"/>
        <w:rPr>
          <w:rFonts w:ascii="宋体" w:hAnsi="宋体" w:cs="宋体"/>
          <w:kern w:val="2"/>
        </w:rPr>
      </w:pPr>
      <w:r>
        <w:rPr>
          <w:rFonts w:hint="eastAsia" w:ascii="宋体" w:hAnsi="宋体" w:cs="宋体"/>
          <w:kern w:val="2"/>
        </w:rPr>
        <w:t>5.2.4.泄密责任：追究相应法律责任。</w:t>
      </w:r>
    </w:p>
    <w:p>
      <w:pPr>
        <w:pStyle w:val="28"/>
        <w:spacing w:before="0" w:after="0" w:line="420" w:lineRule="exact"/>
        <w:ind w:firstLineChars="200"/>
        <w:rPr>
          <w:rFonts w:ascii="宋体" w:hAnsi="宋体" w:cs="宋体"/>
          <w:kern w:val="2"/>
        </w:rPr>
      </w:pPr>
      <w:r>
        <w:rPr>
          <w:rFonts w:hint="eastAsia" w:ascii="宋体" w:hAnsi="宋体" w:cs="宋体"/>
          <w:kern w:val="2"/>
        </w:rPr>
        <w:t>（1）如乙方未履行保密义务，乙方应依法承担违约责任，支付不低于本合同金额20%的违约金。</w:t>
      </w:r>
    </w:p>
    <w:p>
      <w:pPr>
        <w:pStyle w:val="28"/>
        <w:spacing w:before="0" w:after="0" w:line="420" w:lineRule="exact"/>
        <w:ind w:firstLineChars="200"/>
        <w:rPr>
          <w:rFonts w:ascii="宋体" w:hAnsi="宋体" w:cs="宋体"/>
          <w:kern w:val="2"/>
        </w:rPr>
      </w:pPr>
      <w:r>
        <w:rPr>
          <w:rFonts w:hint="eastAsia" w:ascii="宋体" w:hAnsi="宋体" w:cs="宋体"/>
          <w:kern w:val="2"/>
        </w:rPr>
        <w:t>（2）如乙方因前款所称的行为造成甲方损失的，乙方还应依法承担损失赔偿责任，包括（但不限于）：法院诉讼的费用、合理的律师酬金和费用、所有损失或损害等。</w:t>
      </w:r>
    </w:p>
    <w:p>
      <w:pPr>
        <w:pStyle w:val="28"/>
        <w:spacing w:before="0" w:after="0" w:line="420" w:lineRule="exact"/>
        <w:ind w:firstLineChars="200"/>
        <w:rPr>
          <w:rFonts w:ascii="宋体" w:hAnsi="宋体" w:cs="宋体"/>
          <w:kern w:val="2"/>
        </w:rPr>
      </w:pPr>
      <w:r>
        <w:rPr>
          <w:rFonts w:hint="eastAsia" w:ascii="宋体" w:hAnsi="宋体" w:cs="宋体"/>
          <w:kern w:val="2"/>
        </w:rPr>
        <w:t>第六条 本合同的变更必须由双方协商一致，并以书面形式确定。</w:t>
      </w:r>
    </w:p>
    <w:p>
      <w:pPr>
        <w:pStyle w:val="28"/>
        <w:spacing w:before="0" w:after="0" w:line="420" w:lineRule="exact"/>
        <w:ind w:firstLineChars="200"/>
        <w:rPr>
          <w:rFonts w:ascii="宋体" w:hAnsi="宋体" w:cs="宋体"/>
          <w:kern w:val="2"/>
        </w:rPr>
      </w:pPr>
      <w:r>
        <w:rPr>
          <w:rFonts w:hint="eastAsia" w:ascii="宋体" w:hAnsi="宋体" w:cs="宋体"/>
          <w:kern w:val="2"/>
        </w:rPr>
        <w:t>第七条 双方确定以下列标准和方式对乙方的技术服务工作成果进行验收：</w:t>
      </w:r>
    </w:p>
    <w:p>
      <w:pPr>
        <w:pStyle w:val="28"/>
        <w:spacing w:before="0" w:after="0" w:line="420" w:lineRule="exact"/>
        <w:ind w:firstLineChars="200"/>
        <w:rPr>
          <w:rFonts w:ascii="宋体" w:hAnsi="宋体" w:cs="宋体"/>
          <w:kern w:val="2"/>
        </w:rPr>
      </w:pPr>
      <w:r>
        <w:rPr>
          <w:rFonts w:hint="eastAsia" w:ascii="宋体" w:hAnsi="宋体" w:cs="宋体"/>
          <w:kern w:val="2"/>
        </w:rPr>
        <w:t>1．乙方完成技术服务工作的形式：项目按学校要求进行相应部署，经调试运行流畅。</w:t>
      </w:r>
    </w:p>
    <w:p>
      <w:pPr>
        <w:pStyle w:val="28"/>
        <w:spacing w:before="0" w:after="0" w:line="420" w:lineRule="exact"/>
        <w:ind w:firstLineChars="200"/>
        <w:rPr>
          <w:rFonts w:ascii="宋体" w:hAnsi="宋体" w:cs="宋体"/>
          <w:kern w:val="2"/>
        </w:rPr>
      </w:pPr>
      <w:r>
        <w:rPr>
          <w:rFonts w:hint="eastAsia" w:ascii="宋体" w:hAnsi="宋体" w:cs="宋体"/>
          <w:kern w:val="2"/>
        </w:rPr>
        <w:t>2．技术服务工作成果的验收标准：软件运行流畅，满足教学设计要求。</w:t>
      </w:r>
    </w:p>
    <w:p>
      <w:pPr>
        <w:pStyle w:val="28"/>
        <w:spacing w:before="0" w:after="0" w:line="420" w:lineRule="exact"/>
        <w:ind w:firstLineChars="200"/>
        <w:rPr>
          <w:rFonts w:ascii="宋体" w:hAnsi="宋体" w:cs="宋体"/>
          <w:kern w:val="2"/>
        </w:rPr>
      </w:pPr>
      <w:r>
        <w:rPr>
          <w:rFonts w:hint="eastAsia" w:ascii="宋体" w:hAnsi="宋体" w:cs="宋体"/>
          <w:kern w:val="2"/>
        </w:rPr>
        <w:t>3．技术服务工作成果的验收方法：项目部署完成后，乙方向甲方提交项目源代码等技术资料，并提出验收申请，验收由甲方组织，乙方配合。</w:t>
      </w:r>
    </w:p>
    <w:p>
      <w:pPr>
        <w:pStyle w:val="28"/>
        <w:spacing w:before="0" w:after="0" w:line="420" w:lineRule="exact"/>
        <w:ind w:firstLineChars="200"/>
        <w:rPr>
          <w:rFonts w:ascii="宋体" w:hAnsi="宋体" w:cs="宋体"/>
          <w:kern w:val="2"/>
        </w:rPr>
      </w:pPr>
      <w:r>
        <w:rPr>
          <w:rFonts w:hint="eastAsia" w:ascii="宋体" w:hAnsi="宋体" w:cs="宋体"/>
          <w:kern w:val="2"/>
        </w:rPr>
        <w:t>4．验收的时间和地点：</w:t>
      </w:r>
    </w:p>
    <w:p>
      <w:pPr>
        <w:pStyle w:val="28"/>
        <w:spacing w:before="0" w:after="0" w:line="420" w:lineRule="exact"/>
        <w:ind w:firstLineChars="200"/>
        <w:rPr>
          <w:rFonts w:ascii="宋体" w:hAnsi="宋体" w:cs="宋体"/>
          <w:kern w:val="2"/>
        </w:rPr>
      </w:pPr>
      <w:r>
        <w:rPr>
          <w:rFonts w:hint="eastAsia" w:ascii="宋体" w:hAnsi="宋体" w:cs="宋体"/>
          <w:kern w:val="2"/>
        </w:rPr>
        <w:t>第八条 知识产权归属：</w:t>
      </w:r>
    </w:p>
    <w:p>
      <w:pPr>
        <w:pStyle w:val="28"/>
        <w:spacing w:before="0" w:after="0" w:line="420" w:lineRule="exact"/>
        <w:ind w:firstLineChars="200"/>
        <w:rPr>
          <w:rFonts w:ascii="宋体" w:hAnsi="宋体" w:cs="宋体"/>
          <w:kern w:val="2"/>
        </w:rPr>
      </w:pPr>
      <w:r>
        <w:rPr>
          <w:rFonts w:hint="eastAsia" w:ascii="宋体" w:hAnsi="宋体" w:cs="宋体"/>
          <w:kern w:val="2"/>
        </w:rPr>
        <w:t>1．任何时期，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pPr>
        <w:pStyle w:val="28"/>
        <w:spacing w:before="0" w:after="0" w:line="420" w:lineRule="exact"/>
        <w:ind w:firstLineChars="200"/>
        <w:rPr>
          <w:rFonts w:ascii="宋体" w:hAnsi="宋体" w:cs="宋体"/>
          <w:kern w:val="2"/>
        </w:rPr>
      </w:pPr>
      <w:r>
        <w:rPr>
          <w:rFonts w:hint="eastAsia" w:ascii="宋体" w:hAnsi="宋体" w:cs="宋体"/>
          <w:kern w:val="2"/>
        </w:rPr>
        <w:t>2．任何时期，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pPr>
        <w:pStyle w:val="28"/>
        <w:spacing w:before="0" w:after="0" w:line="420" w:lineRule="exact"/>
        <w:ind w:firstLineChars="200"/>
        <w:rPr>
          <w:rFonts w:ascii="宋体" w:hAnsi="宋体" w:cs="宋体"/>
          <w:kern w:val="2"/>
        </w:rPr>
      </w:pPr>
      <w:r>
        <w:rPr>
          <w:rFonts w:hint="eastAsia" w:ascii="宋体" w:hAnsi="宋体" w:cs="宋体"/>
          <w:kern w:val="2"/>
        </w:rPr>
        <w:t>第九条 双方确定，按以下约定承担各自的违约责任：</w:t>
      </w:r>
    </w:p>
    <w:p>
      <w:pPr>
        <w:pStyle w:val="28"/>
        <w:spacing w:before="0" w:after="0" w:line="420" w:lineRule="exact"/>
        <w:ind w:firstLineChars="200"/>
        <w:rPr>
          <w:rFonts w:ascii="宋体" w:hAnsi="宋体" w:cs="宋体"/>
          <w:kern w:val="2"/>
        </w:rPr>
      </w:pPr>
      <w:r>
        <w:rPr>
          <w:rFonts w:hint="eastAsia" w:ascii="宋体" w:hAnsi="宋体" w:cs="宋体"/>
          <w:kern w:val="2"/>
        </w:rPr>
        <w:t>1. 甲方无故逾期支付服务费的,甲方应按逾期付款总额每日万分之五向乙方支付违约金。非因甲方原因未及时付款，包括但不仅限于乙方未验收合格、未开具合格的发票，甲方不承担违约责任。</w:t>
      </w:r>
    </w:p>
    <w:p>
      <w:pPr>
        <w:pStyle w:val="28"/>
        <w:spacing w:before="0" w:after="0" w:line="420" w:lineRule="exact"/>
        <w:ind w:firstLineChars="200"/>
        <w:rPr>
          <w:rFonts w:ascii="宋体" w:hAnsi="宋体" w:cs="宋体"/>
          <w:kern w:val="2"/>
        </w:rPr>
      </w:pPr>
      <w:r>
        <w:rPr>
          <w:rFonts w:hint="eastAsia" w:ascii="宋体" w:hAnsi="宋体" w:cs="宋体"/>
          <w:kern w:val="2"/>
        </w:rPr>
        <w:t xml:space="preserve">2. 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费，并向甲方支付本合同总金额5%的违约金，如造成甲方损失超过违约金的，超出部分由乙方继续承担赔偿责任。 </w:t>
      </w:r>
    </w:p>
    <w:p>
      <w:pPr>
        <w:pStyle w:val="28"/>
        <w:spacing w:before="0" w:after="0" w:line="420" w:lineRule="exact"/>
        <w:ind w:firstLineChars="200"/>
        <w:rPr>
          <w:rFonts w:ascii="宋体" w:hAnsi="宋体" w:cs="宋体"/>
          <w:kern w:val="2"/>
        </w:rPr>
      </w:pPr>
      <w:r>
        <w:rPr>
          <w:rFonts w:hint="eastAsia" w:ascii="宋体" w:hAnsi="宋体" w:cs="宋体"/>
          <w:kern w:val="2"/>
        </w:rPr>
        <w:t>3. 乙方供给甲方的设备、材料及乙方自己的施工用具，进入甲方现场后的保管，由乙方负责，乙方在甲方现场安装、调试、验收人员的安全、保险、食宿和交通由乙方全权负责。</w:t>
      </w:r>
    </w:p>
    <w:p>
      <w:pPr>
        <w:pStyle w:val="28"/>
        <w:spacing w:before="0" w:after="0" w:line="420" w:lineRule="exact"/>
        <w:ind w:firstLineChars="200"/>
        <w:rPr>
          <w:rFonts w:ascii="宋体" w:hAnsi="宋体" w:cs="宋体"/>
          <w:kern w:val="2"/>
        </w:rPr>
      </w:pPr>
      <w:r>
        <w:rPr>
          <w:rFonts w:hint="eastAsia" w:ascii="宋体" w:hAnsi="宋体" w:cs="宋体"/>
          <w:kern w:val="2"/>
        </w:rPr>
        <w:t>4. 如乙方的技术服务成果第一次不能通过验收，乙方可在规定时间内重新提供服务或者按照合同要求修改；如仍不能通过验收，甲方可单方解除合同，并要求乙方退还已收到的技术服务费，且乙方还应向甲方支付合同总额10%的违约金作为赔偿。</w:t>
      </w:r>
    </w:p>
    <w:p>
      <w:pPr>
        <w:pStyle w:val="28"/>
        <w:spacing w:before="0" w:after="0" w:line="420" w:lineRule="exact"/>
        <w:ind w:firstLineChars="200"/>
        <w:rPr>
          <w:rFonts w:ascii="宋体" w:hAnsi="宋体" w:cs="宋体"/>
          <w:kern w:val="2"/>
        </w:rPr>
      </w:pPr>
      <w:r>
        <w:rPr>
          <w:rFonts w:hint="eastAsia" w:ascii="宋体" w:hAnsi="宋体" w:cs="宋体"/>
          <w:kern w:val="2"/>
        </w:rPr>
        <w:t>5.本合同项下所有技术服务的内容，均由乙方单独承担，不得分包或者转包给其他单位或个人，否则，甲方有权单方解除合同，并要求乙方退还已收到的技术服务费，且乙方还应向甲方支付合同总额10%的违约金作为赔偿。</w:t>
      </w:r>
    </w:p>
    <w:p>
      <w:pPr>
        <w:pStyle w:val="28"/>
        <w:spacing w:before="0" w:after="0" w:line="420" w:lineRule="exact"/>
        <w:ind w:firstLineChars="200"/>
        <w:rPr>
          <w:rFonts w:ascii="宋体" w:hAnsi="宋体" w:cs="宋体"/>
          <w:kern w:val="2"/>
        </w:rPr>
      </w:pPr>
      <w:r>
        <w:rPr>
          <w:rFonts w:hint="eastAsia" w:ascii="宋体" w:hAnsi="宋体" w:cs="宋体"/>
          <w:kern w:val="2"/>
        </w:rPr>
        <w:t>6. 乙方履行义务不符合合同约定，甲方有权扣减本合同总金额10%的技术服务费，尾款不足10%的，乙方应当补足。</w:t>
      </w:r>
    </w:p>
    <w:p>
      <w:pPr>
        <w:pStyle w:val="28"/>
        <w:spacing w:before="0" w:after="0" w:line="420" w:lineRule="exact"/>
        <w:ind w:firstLineChars="200"/>
        <w:rPr>
          <w:rFonts w:ascii="宋体" w:hAnsi="宋体" w:cs="宋体"/>
          <w:kern w:val="2"/>
        </w:rPr>
      </w:pPr>
      <w:r>
        <w:rPr>
          <w:rFonts w:hint="eastAsia" w:ascii="宋体" w:hAnsi="宋体" w:cs="宋体"/>
          <w:kern w:val="2"/>
        </w:rPr>
        <w:t>7.乙方违反本合同第二条第6款及第八条约定的，一次性支付甲方违约金__；如违约金不足以弥补甲方损失，乙方还应当赔偿给甲方造成的损失，包括但不仅限于预期利益、因维权产生的公证费、诉讼费、保全担保费、鉴定费、律师费、交通费用。</w:t>
      </w:r>
    </w:p>
    <w:p>
      <w:pPr>
        <w:pStyle w:val="28"/>
        <w:spacing w:before="0" w:after="0" w:line="420" w:lineRule="exact"/>
        <w:ind w:firstLineChars="200"/>
        <w:rPr>
          <w:rFonts w:ascii="宋体" w:hAnsi="宋体" w:cs="宋体"/>
          <w:kern w:val="2"/>
        </w:rPr>
      </w:pPr>
      <w:r>
        <w:rPr>
          <w:rFonts w:hint="eastAsia" w:ascii="宋体" w:hAnsi="宋体" w:cs="宋体"/>
          <w:kern w:val="2"/>
        </w:rPr>
        <w:t>第十条 双方确定，在本合同有效期内，甲方指定      为甲方项目联系人，乙方指定     为乙方项目联系人。</w:t>
      </w:r>
    </w:p>
    <w:p>
      <w:pPr>
        <w:pStyle w:val="28"/>
        <w:spacing w:before="0" w:after="0" w:line="420" w:lineRule="exact"/>
        <w:ind w:firstLineChars="200"/>
        <w:rPr>
          <w:rFonts w:ascii="宋体" w:hAnsi="宋体" w:cs="宋体"/>
          <w:kern w:val="2"/>
        </w:rPr>
      </w:pPr>
      <w:r>
        <w:rPr>
          <w:rFonts w:hint="eastAsia" w:ascii="宋体" w:hAnsi="宋体" w:cs="宋体"/>
          <w:kern w:val="2"/>
        </w:rPr>
        <w:t>一方变更项目联系人的，应当及时以书面形式通知另一方。未及时通知并影响本合同履行或造成损失的，应承担相应的责任。</w:t>
      </w:r>
    </w:p>
    <w:p>
      <w:pPr>
        <w:pStyle w:val="28"/>
        <w:spacing w:before="0" w:after="0" w:line="420" w:lineRule="exact"/>
        <w:ind w:firstLineChars="200"/>
        <w:rPr>
          <w:rFonts w:ascii="宋体" w:hAnsi="宋体" w:cs="宋体"/>
          <w:kern w:val="2"/>
        </w:rPr>
      </w:pPr>
      <w:r>
        <w:rPr>
          <w:rFonts w:hint="eastAsia" w:ascii="宋体" w:hAnsi="宋体" w:cs="宋体"/>
          <w:kern w:val="2"/>
        </w:rPr>
        <w:t xml:space="preserve"> 第十一条 不可抗力事件处理</w:t>
      </w:r>
    </w:p>
    <w:p>
      <w:pPr>
        <w:pStyle w:val="28"/>
        <w:spacing w:before="0" w:after="0" w:line="420" w:lineRule="exact"/>
        <w:ind w:firstLineChars="200"/>
        <w:rPr>
          <w:rFonts w:ascii="宋体" w:hAnsi="宋体" w:cs="宋体"/>
          <w:kern w:val="2"/>
        </w:rPr>
      </w:pPr>
      <w:r>
        <w:rPr>
          <w:rFonts w:hint="eastAsia" w:ascii="宋体" w:hAnsi="宋体" w:cs="宋体"/>
          <w:kern w:val="2"/>
        </w:rPr>
        <w:t>1. 在合同有效期内，任何一方因不可抗力事件导致不能履行合同，则合同履行期可延长，其延长期与不可抗力影响期相同。</w:t>
      </w:r>
    </w:p>
    <w:p>
      <w:pPr>
        <w:pStyle w:val="28"/>
        <w:spacing w:before="0" w:after="0" w:line="420" w:lineRule="exact"/>
        <w:ind w:firstLineChars="200"/>
        <w:rPr>
          <w:rFonts w:ascii="宋体" w:hAnsi="宋体" w:cs="宋体"/>
          <w:kern w:val="2"/>
        </w:rPr>
      </w:pPr>
      <w:r>
        <w:rPr>
          <w:rFonts w:hint="eastAsia" w:ascii="宋体" w:hAnsi="宋体" w:cs="宋体"/>
          <w:kern w:val="2"/>
        </w:rPr>
        <w:t>2. 不可抗力事件发生后，应立即通知对方，并寄送有关权威机构出具的证明。</w:t>
      </w:r>
    </w:p>
    <w:p>
      <w:pPr>
        <w:pStyle w:val="28"/>
        <w:spacing w:before="0" w:after="0" w:line="420" w:lineRule="exact"/>
        <w:ind w:firstLineChars="200"/>
        <w:rPr>
          <w:rFonts w:ascii="宋体" w:hAnsi="宋体" w:cs="宋体"/>
          <w:kern w:val="2"/>
        </w:rPr>
      </w:pPr>
      <w:r>
        <w:rPr>
          <w:rFonts w:hint="eastAsia" w:ascii="宋体" w:hAnsi="宋体" w:cs="宋体"/>
          <w:kern w:val="2"/>
        </w:rPr>
        <w:t>3. 不可抗力事件延续30天以上，双方应通过友好协商，书面确定是否继续履行合同。</w:t>
      </w:r>
    </w:p>
    <w:p>
      <w:pPr>
        <w:pStyle w:val="28"/>
        <w:spacing w:before="0" w:after="0" w:line="420" w:lineRule="exact"/>
        <w:ind w:firstLineChars="200"/>
        <w:rPr>
          <w:rFonts w:ascii="宋体" w:hAnsi="宋体" w:cs="宋体"/>
          <w:kern w:val="2"/>
        </w:rPr>
      </w:pPr>
      <w:r>
        <w:rPr>
          <w:rFonts w:hint="eastAsia" w:ascii="宋体" w:hAnsi="宋体" w:cs="宋体"/>
          <w:kern w:val="2"/>
        </w:rPr>
        <w:t>第十二条 诉讼条款</w:t>
      </w:r>
    </w:p>
    <w:p>
      <w:pPr>
        <w:pStyle w:val="28"/>
        <w:spacing w:before="0" w:after="0" w:line="420" w:lineRule="exact"/>
        <w:ind w:firstLineChars="200"/>
        <w:rPr>
          <w:rFonts w:ascii="宋体" w:hAnsi="宋体" w:cs="宋体"/>
          <w:kern w:val="2"/>
        </w:rPr>
      </w:pPr>
      <w:r>
        <w:rPr>
          <w:rFonts w:hint="eastAsia" w:ascii="宋体" w:hAnsi="宋体" w:cs="宋体"/>
          <w:kern w:val="2"/>
        </w:rPr>
        <w:t>双方在执行合同中所发生的一切争议，应通过协商解决。如协商不成，向甲方所在地的人民法院提起诉讼。因诉讼或仲裁产生的相关费用及开支（包括但不限于公证费、诉讼费、保全担保费、鉴定费、律师费、交通费用）均由败诉方承担。</w:t>
      </w:r>
    </w:p>
    <w:p>
      <w:pPr>
        <w:pStyle w:val="28"/>
        <w:spacing w:before="0" w:after="0" w:line="420" w:lineRule="exact"/>
        <w:ind w:firstLineChars="200"/>
        <w:rPr>
          <w:rFonts w:ascii="宋体" w:hAnsi="宋体" w:cs="宋体"/>
          <w:kern w:val="2"/>
        </w:rPr>
      </w:pPr>
      <w:r>
        <w:rPr>
          <w:rFonts w:hint="eastAsia" w:ascii="宋体" w:hAnsi="宋体" w:cs="宋体"/>
          <w:kern w:val="2"/>
        </w:rPr>
        <w:t>第十三条 合同生效及其它</w:t>
      </w:r>
    </w:p>
    <w:p>
      <w:pPr>
        <w:pStyle w:val="28"/>
        <w:spacing w:before="0" w:after="0" w:line="420" w:lineRule="exact"/>
        <w:ind w:firstLineChars="200"/>
        <w:rPr>
          <w:rFonts w:ascii="宋体" w:hAnsi="宋体" w:cs="宋体"/>
          <w:kern w:val="2"/>
        </w:rPr>
      </w:pPr>
      <w:r>
        <w:rPr>
          <w:rFonts w:hint="eastAsia" w:ascii="宋体" w:hAnsi="宋体" w:cs="宋体"/>
          <w:kern w:val="2"/>
        </w:rPr>
        <w:t>1.  招投标文件作为合同的附件，与本合同具有同等法律效力。合同经双方法定代表人或授权委托代表人签字、盖章后生效。</w:t>
      </w:r>
    </w:p>
    <w:p>
      <w:pPr>
        <w:pStyle w:val="28"/>
        <w:spacing w:before="0" w:after="0" w:line="420" w:lineRule="exact"/>
        <w:ind w:firstLineChars="200"/>
        <w:rPr>
          <w:rFonts w:ascii="宋体" w:hAnsi="宋体" w:cs="宋体"/>
          <w:kern w:val="2"/>
        </w:rPr>
      </w:pPr>
      <w:r>
        <w:rPr>
          <w:rFonts w:hint="eastAsia" w:ascii="宋体" w:hAnsi="宋体" w:cs="宋体"/>
          <w:kern w:val="2"/>
        </w:rPr>
        <w:t>2.本合同未尽事宜，遵照《中华人民共和国民法典》有关条文执行。</w:t>
      </w:r>
    </w:p>
    <w:p>
      <w:pPr>
        <w:pStyle w:val="28"/>
        <w:spacing w:before="0" w:after="0" w:line="420" w:lineRule="exact"/>
        <w:ind w:firstLineChars="200"/>
        <w:rPr>
          <w:rFonts w:ascii="宋体" w:hAnsi="宋体" w:cs="宋体"/>
          <w:kern w:val="2"/>
        </w:rPr>
      </w:pPr>
      <w:r>
        <w:rPr>
          <w:rFonts w:hint="eastAsia" w:ascii="宋体" w:hAnsi="宋体" w:cs="宋体"/>
          <w:kern w:val="2"/>
        </w:rPr>
        <w:t>3. 本合同正本一式肆份，甲方叁份，乙方壹份，具有同等法律效力。</w:t>
      </w:r>
    </w:p>
    <w:p>
      <w:pPr>
        <w:pStyle w:val="28"/>
        <w:spacing w:before="0" w:after="0" w:line="420" w:lineRule="exact"/>
        <w:ind w:firstLineChars="200"/>
        <w:rPr>
          <w:rFonts w:ascii="宋体" w:hAnsi="宋体" w:cs="宋体"/>
          <w:kern w:val="2"/>
        </w:rPr>
      </w:pPr>
      <w:r>
        <w:rPr>
          <w:rFonts w:hint="eastAsia" w:ascii="宋体" w:hAnsi="宋体" w:cs="宋体"/>
          <w:kern w:val="2"/>
        </w:rPr>
        <w:t>甲方：                        乙方：</w:t>
      </w:r>
    </w:p>
    <w:p>
      <w:pPr>
        <w:pStyle w:val="28"/>
        <w:spacing w:before="0" w:after="0" w:line="420" w:lineRule="exact"/>
        <w:ind w:firstLineChars="200"/>
        <w:rPr>
          <w:rFonts w:ascii="宋体" w:hAnsi="宋体" w:cs="宋体"/>
          <w:kern w:val="2"/>
        </w:rPr>
      </w:pPr>
      <w:r>
        <w:rPr>
          <w:rFonts w:hint="eastAsia" w:ascii="宋体" w:hAnsi="宋体" w:cs="宋体"/>
          <w:kern w:val="2"/>
        </w:rPr>
        <w:t>地址：                        地址：</w:t>
      </w:r>
    </w:p>
    <w:p>
      <w:pPr>
        <w:pStyle w:val="28"/>
        <w:spacing w:before="0" w:after="0" w:line="420" w:lineRule="exact"/>
        <w:ind w:firstLineChars="200"/>
        <w:rPr>
          <w:rFonts w:ascii="宋体" w:hAnsi="宋体" w:cs="宋体"/>
          <w:kern w:val="2"/>
        </w:rPr>
      </w:pPr>
      <w:r>
        <w:rPr>
          <w:rFonts w:hint="eastAsia" w:ascii="宋体" w:hAnsi="宋体" w:cs="宋体"/>
          <w:kern w:val="2"/>
        </w:rPr>
        <w:t>法定代表人或授权代表：        法定代表人或授权代表：</w:t>
      </w:r>
    </w:p>
    <w:p>
      <w:pPr>
        <w:pStyle w:val="28"/>
        <w:spacing w:before="0" w:after="0" w:line="420" w:lineRule="exact"/>
        <w:ind w:firstLineChars="200"/>
        <w:rPr>
          <w:rFonts w:ascii="宋体" w:hAnsi="宋体" w:cs="宋体"/>
          <w:kern w:val="2"/>
        </w:rPr>
      </w:pPr>
      <w:r>
        <w:rPr>
          <w:rFonts w:hint="eastAsia" w:ascii="宋体" w:hAnsi="宋体" w:cs="宋体"/>
          <w:kern w:val="2"/>
        </w:rPr>
        <w:t xml:space="preserve">联系电话：                    联系电话：     </w:t>
      </w:r>
    </w:p>
    <w:p>
      <w:pPr>
        <w:pStyle w:val="28"/>
        <w:spacing w:before="0" w:after="0" w:line="420" w:lineRule="exact"/>
        <w:ind w:firstLineChars="200"/>
        <w:rPr>
          <w:rFonts w:ascii="宋体" w:hAnsi="宋体" w:cs="宋体"/>
          <w:kern w:val="2"/>
        </w:rPr>
      </w:pPr>
    </w:p>
    <w:p>
      <w:pPr>
        <w:pStyle w:val="28"/>
        <w:spacing w:before="0" w:after="0" w:line="420" w:lineRule="exact"/>
        <w:ind w:firstLineChars="200"/>
        <w:rPr>
          <w:rFonts w:ascii="宋体" w:hAnsi="宋体" w:cs="宋体"/>
          <w:kern w:val="2"/>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4</w:t>
    </w:r>
    <w:r>
      <w:rPr>
        <w:rFonts w:ascii="宋体" w:hAnsi="宋体"/>
      </w:rPr>
      <w:fldChar w:fldCharType="end"/>
    </w:r>
  </w:p>
  <w:p>
    <w:pPr>
      <w:pStyle w:val="1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76AE5"/>
    <w:multiLevelType w:val="singleLevel"/>
    <w:tmpl w:val="3EA76AE5"/>
    <w:lvl w:ilvl="0" w:tentative="0">
      <w:start w:val="1"/>
      <w:numFmt w:val="decimal"/>
      <w:suff w:val="nothing"/>
      <w:lvlText w:val="（%1）"/>
      <w:lvlJc w:val="left"/>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FD0A20C"/>
    <w:multiLevelType w:val="singleLevel"/>
    <w:tmpl w:val="6FD0A20C"/>
    <w:lvl w:ilvl="0" w:tentative="0">
      <w:start w:val="3"/>
      <w:numFmt w:val="decimal"/>
      <w:suff w:val="nothing"/>
      <w:lvlText w:val="（%1）"/>
      <w:lvlJc w:val="left"/>
    </w:lvl>
  </w:abstractNum>
  <w:abstractNum w:abstractNumId="3">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D31D50"/>
    <w:rsid w:val="00005C7E"/>
    <w:rsid w:val="00026CA5"/>
    <w:rsid w:val="000458DB"/>
    <w:rsid w:val="000508AB"/>
    <w:rsid w:val="00050D10"/>
    <w:rsid w:val="0005267F"/>
    <w:rsid w:val="00053D8C"/>
    <w:rsid w:val="000547D4"/>
    <w:rsid w:val="0008466D"/>
    <w:rsid w:val="0009546A"/>
    <w:rsid w:val="000A047C"/>
    <w:rsid w:val="000B08EC"/>
    <w:rsid w:val="000B0E83"/>
    <w:rsid w:val="000B538B"/>
    <w:rsid w:val="000B6E04"/>
    <w:rsid w:val="000D0163"/>
    <w:rsid w:val="00101A8A"/>
    <w:rsid w:val="001225B3"/>
    <w:rsid w:val="00124A3C"/>
    <w:rsid w:val="00141840"/>
    <w:rsid w:val="0016026B"/>
    <w:rsid w:val="00167738"/>
    <w:rsid w:val="0017395A"/>
    <w:rsid w:val="0018443B"/>
    <w:rsid w:val="001925D7"/>
    <w:rsid w:val="001A049C"/>
    <w:rsid w:val="001A5306"/>
    <w:rsid w:val="001B6A78"/>
    <w:rsid w:val="001C20DD"/>
    <w:rsid w:val="001C4B26"/>
    <w:rsid w:val="001D0768"/>
    <w:rsid w:val="001E4020"/>
    <w:rsid w:val="001F4F63"/>
    <w:rsid w:val="0020432E"/>
    <w:rsid w:val="002070F5"/>
    <w:rsid w:val="00220C99"/>
    <w:rsid w:val="002222F5"/>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271C5"/>
    <w:rsid w:val="00542987"/>
    <w:rsid w:val="00582977"/>
    <w:rsid w:val="005866DD"/>
    <w:rsid w:val="00590D7C"/>
    <w:rsid w:val="005A5F50"/>
    <w:rsid w:val="005B00B9"/>
    <w:rsid w:val="005B44B4"/>
    <w:rsid w:val="0060453F"/>
    <w:rsid w:val="006045FD"/>
    <w:rsid w:val="006411FE"/>
    <w:rsid w:val="00657B2C"/>
    <w:rsid w:val="00663D89"/>
    <w:rsid w:val="00681F07"/>
    <w:rsid w:val="00690A95"/>
    <w:rsid w:val="006A096A"/>
    <w:rsid w:val="006A112C"/>
    <w:rsid w:val="006C6B1D"/>
    <w:rsid w:val="00710E53"/>
    <w:rsid w:val="0071106B"/>
    <w:rsid w:val="007178CD"/>
    <w:rsid w:val="00725153"/>
    <w:rsid w:val="00747556"/>
    <w:rsid w:val="00780261"/>
    <w:rsid w:val="00792482"/>
    <w:rsid w:val="0079316D"/>
    <w:rsid w:val="007947E9"/>
    <w:rsid w:val="007A58F8"/>
    <w:rsid w:val="007C7A70"/>
    <w:rsid w:val="007F18E6"/>
    <w:rsid w:val="007F226B"/>
    <w:rsid w:val="00830E76"/>
    <w:rsid w:val="00841379"/>
    <w:rsid w:val="0085068C"/>
    <w:rsid w:val="008545FA"/>
    <w:rsid w:val="008940B1"/>
    <w:rsid w:val="008B1021"/>
    <w:rsid w:val="008B154E"/>
    <w:rsid w:val="008B7726"/>
    <w:rsid w:val="008C0DA6"/>
    <w:rsid w:val="008E1269"/>
    <w:rsid w:val="008F5952"/>
    <w:rsid w:val="008F6FC4"/>
    <w:rsid w:val="008F7663"/>
    <w:rsid w:val="00901E4A"/>
    <w:rsid w:val="00914B43"/>
    <w:rsid w:val="00917C9A"/>
    <w:rsid w:val="009330FF"/>
    <w:rsid w:val="00937A6C"/>
    <w:rsid w:val="00954E6B"/>
    <w:rsid w:val="009569A2"/>
    <w:rsid w:val="00985BBC"/>
    <w:rsid w:val="0099642C"/>
    <w:rsid w:val="009A61CF"/>
    <w:rsid w:val="009B4528"/>
    <w:rsid w:val="009D140B"/>
    <w:rsid w:val="009D5587"/>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CF5"/>
    <w:rsid w:val="00E14FB9"/>
    <w:rsid w:val="00E31BD3"/>
    <w:rsid w:val="00E34600"/>
    <w:rsid w:val="00E52BFB"/>
    <w:rsid w:val="00E74175"/>
    <w:rsid w:val="00E7796D"/>
    <w:rsid w:val="00E81B75"/>
    <w:rsid w:val="00EB187E"/>
    <w:rsid w:val="00EC26B0"/>
    <w:rsid w:val="00EE3046"/>
    <w:rsid w:val="00F04061"/>
    <w:rsid w:val="00F14151"/>
    <w:rsid w:val="00F30A36"/>
    <w:rsid w:val="00F4455E"/>
    <w:rsid w:val="00F5231B"/>
    <w:rsid w:val="00F94053"/>
    <w:rsid w:val="00FA4F5F"/>
    <w:rsid w:val="00FB608D"/>
    <w:rsid w:val="00FD4A32"/>
    <w:rsid w:val="00FF44F0"/>
    <w:rsid w:val="00FF7A26"/>
    <w:rsid w:val="013F017A"/>
    <w:rsid w:val="08137017"/>
    <w:rsid w:val="0E1919B2"/>
    <w:rsid w:val="11660B07"/>
    <w:rsid w:val="14736322"/>
    <w:rsid w:val="1AC80D7D"/>
    <w:rsid w:val="1C980DFA"/>
    <w:rsid w:val="1FD45B0E"/>
    <w:rsid w:val="23457BEE"/>
    <w:rsid w:val="26396471"/>
    <w:rsid w:val="2A426494"/>
    <w:rsid w:val="2B3D38EA"/>
    <w:rsid w:val="30CA3C63"/>
    <w:rsid w:val="350710F1"/>
    <w:rsid w:val="371669D8"/>
    <w:rsid w:val="3BF426EE"/>
    <w:rsid w:val="3EB20F1F"/>
    <w:rsid w:val="4CCB7C2E"/>
    <w:rsid w:val="51573B10"/>
    <w:rsid w:val="55875894"/>
    <w:rsid w:val="57194839"/>
    <w:rsid w:val="58E36743"/>
    <w:rsid w:val="5AD255CE"/>
    <w:rsid w:val="5B0E44CB"/>
    <w:rsid w:val="5C9754AC"/>
    <w:rsid w:val="625B07BA"/>
    <w:rsid w:val="691959FB"/>
    <w:rsid w:val="69B71F24"/>
    <w:rsid w:val="6CDA414F"/>
    <w:rsid w:val="6DF36786"/>
    <w:rsid w:val="6EE17C8B"/>
    <w:rsid w:val="70F16A74"/>
    <w:rsid w:val="720D6DF6"/>
    <w:rsid w:val="72F72576"/>
    <w:rsid w:val="73245490"/>
    <w:rsid w:val="74AB629B"/>
    <w:rsid w:val="762D3933"/>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semiHidden/>
    <w:unhideWhenUsed/>
    <w:qFormat/>
    <w:uiPriority w:val="99"/>
  </w:style>
  <w:style w:type="paragraph" w:styleId="8">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qFormat/>
    <w:uiPriority w:val="0"/>
    <w:pPr>
      <w:spacing w:line="440" w:lineRule="exact"/>
      <w:ind w:firstLine="403" w:firstLineChars="192"/>
    </w:pPr>
    <w:rPr>
      <w:rFonts w:ascii="宋体" w:hAnsi="宋体" w:eastAsia="宋体" w:cs="宋体"/>
      <w:szCs w:val="21"/>
    </w:rPr>
  </w:style>
  <w:style w:type="paragraph" w:styleId="10">
    <w:name w:val="envelope return"/>
    <w:basedOn w:val="1"/>
    <w:qFormat/>
    <w:uiPriority w:val="0"/>
    <w:rPr>
      <w:rFonts w:ascii="Arial" w:hAnsi="Arial"/>
    </w:rPr>
  </w:style>
  <w:style w:type="paragraph" w:styleId="11">
    <w:name w:val="Block Text"/>
    <w:basedOn w:val="1"/>
    <w:semiHidden/>
    <w:unhideWhenUsed/>
    <w:qFormat/>
    <w:uiPriority w:val="99"/>
    <w:rPr>
      <w:rFonts w:ascii="Times New Roman" w:hAnsi="Times New Roman"/>
    </w:rPr>
  </w:style>
  <w:style w:type="paragraph" w:styleId="12">
    <w:name w:val="index 4"/>
    <w:basedOn w:val="1"/>
    <w:next w:val="1"/>
    <w:qFormat/>
    <w:uiPriority w:val="99"/>
    <w:pPr>
      <w:ind w:left="600" w:leftChars="600"/>
    </w:pPr>
    <w:rPr>
      <w:rFonts w:cs="Times New Roman"/>
    </w:rPr>
  </w:style>
  <w:style w:type="paragraph" w:styleId="13">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4">
    <w:name w:val="Balloon Text"/>
    <w:basedOn w:val="1"/>
    <w:link w:val="46"/>
    <w:semiHidden/>
    <w:unhideWhenUsed/>
    <w:qFormat/>
    <w:uiPriority w:val="99"/>
    <w:pPr>
      <w:spacing w:after="0"/>
    </w:pPr>
    <w:rPr>
      <w:sz w:val="18"/>
      <w:szCs w:val="18"/>
    </w:rPr>
  </w:style>
  <w:style w:type="paragraph" w:styleId="15">
    <w:name w:val="footer"/>
    <w:basedOn w:val="1"/>
    <w:link w:val="25"/>
    <w:unhideWhenUsed/>
    <w:qFormat/>
    <w:uiPriority w:val="99"/>
    <w:pPr>
      <w:tabs>
        <w:tab w:val="center" w:pos="4153"/>
        <w:tab w:val="right" w:pos="8306"/>
      </w:tabs>
    </w:pPr>
    <w:rPr>
      <w:sz w:val="18"/>
      <w:szCs w:val="18"/>
    </w:rPr>
  </w:style>
  <w:style w:type="paragraph" w:styleId="16">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9"/>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Char"/>
    <w:basedOn w:val="21"/>
    <w:link w:val="16"/>
    <w:qFormat/>
    <w:uiPriority w:val="99"/>
    <w:rPr>
      <w:rFonts w:ascii="Tahoma" w:hAnsi="Tahoma"/>
      <w:sz w:val="18"/>
      <w:szCs w:val="18"/>
    </w:rPr>
  </w:style>
  <w:style w:type="character" w:customStyle="1" w:styleId="25">
    <w:name w:val="页脚 Char"/>
    <w:basedOn w:val="21"/>
    <w:link w:val="15"/>
    <w:qFormat/>
    <w:uiPriority w:val="99"/>
    <w:rPr>
      <w:rFonts w:ascii="Tahoma" w:hAnsi="Tahoma"/>
      <w:sz w:val="18"/>
      <w:szCs w:val="18"/>
    </w:rPr>
  </w:style>
  <w:style w:type="character" w:customStyle="1" w:styleId="26">
    <w:name w:val="标题 1 Char"/>
    <w:basedOn w:val="21"/>
    <w:link w:val="2"/>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Char"/>
    <w:basedOn w:val="21"/>
    <w:link w:val="4"/>
    <w:qFormat/>
    <w:uiPriority w:val="0"/>
    <w:rPr>
      <w:rFonts w:ascii="Times New Roman" w:hAnsi="Times New Roman" w:eastAsia="宋体" w:cs="Times New Roman"/>
      <w:b/>
      <w:bCs/>
      <w:kern w:val="2"/>
      <w:sz w:val="32"/>
      <w:szCs w:val="32"/>
    </w:rPr>
  </w:style>
  <w:style w:type="character" w:customStyle="1" w:styleId="30">
    <w:name w:val="标题 4 Char"/>
    <w:basedOn w:val="21"/>
    <w:link w:val="6"/>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Char"/>
    <w:link w:val="5"/>
    <w:qFormat/>
    <w:uiPriority w:val="0"/>
    <w:rPr>
      <w:kern w:val="2"/>
      <w:sz w:val="21"/>
      <w:szCs w:val="21"/>
    </w:rPr>
  </w:style>
  <w:style w:type="character" w:customStyle="1" w:styleId="36">
    <w:name w:val="标题 Char"/>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Char1"/>
    <w:basedOn w:val="21"/>
    <w:link w:val="13"/>
    <w:semiHidden/>
    <w:qFormat/>
    <w:uiPriority w:val="99"/>
    <w:rPr>
      <w:rFonts w:ascii="宋体" w:hAnsi="Courier New" w:eastAsia="宋体" w:cs="Courier New"/>
      <w:sz w:val="21"/>
      <w:szCs w:val="21"/>
    </w:rPr>
  </w:style>
  <w:style w:type="character" w:customStyle="1" w:styleId="40">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1"/>
    <w:link w:val="8"/>
    <w:semiHidden/>
    <w:qFormat/>
    <w:uiPriority w:val="99"/>
    <w:rPr>
      <w:rFonts w:ascii="Tahoma" w:hAnsi="Tahoma"/>
    </w:rPr>
  </w:style>
  <w:style w:type="character" w:customStyle="1" w:styleId="46">
    <w:name w:val="批注框文本 Char"/>
    <w:basedOn w:val="21"/>
    <w:link w:val="14"/>
    <w:semiHidden/>
    <w:qFormat/>
    <w:uiPriority w:val="99"/>
    <w:rPr>
      <w:rFonts w:ascii="Tahoma" w:hAnsi="Tahoma"/>
      <w:sz w:val="18"/>
      <w:szCs w:val="18"/>
    </w:rPr>
  </w:style>
  <w:style w:type="paragraph" w:customStyle="1" w:styleId="47">
    <w:name w:val="DAS正文"/>
    <w:basedOn w:val="1"/>
    <w:qFormat/>
    <w:uiPriority w:val="0"/>
    <w:pPr>
      <w:spacing w:line="360" w:lineRule="auto"/>
      <w:ind w:right="181" w:firstLine="480"/>
    </w:pPr>
    <w:rPr>
      <w:rFonts w:ascii="Verdana" w:hAnsi="Verdana"/>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92420F-D9A0-4F42-94BE-4C09E0FA90F0}">
  <ds:schemaRefs/>
</ds:datastoreItem>
</file>

<file path=docProps/app.xml><?xml version="1.0" encoding="utf-8"?>
<Properties xmlns="http://schemas.openxmlformats.org/officeDocument/2006/extended-properties" xmlns:vt="http://schemas.openxmlformats.org/officeDocument/2006/docPropsVTypes">
  <Template>Normal</Template>
  <Pages>37</Pages>
  <Words>2895</Words>
  <Characters>16505</Characters>
  <Lines>137</Lines>
  <Paragraphs>38</Paragraphs>
  <TotalTime>48</TotalTime>
  <ScaleCrop>false</ScaleCrop>
  <LinksUpToDate>false</LinksUpToDate>
  <CharactersWithSpaces>19362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2023-11-09T11:04:00Z</dcterms:created>
  <dc:creator>admin</dc:creator>
  <cp:lastModifiedBy>admin</cp:lastModifiedBy>
  <dcterms:modified xsi:type="dcterms:W3CDTF">2023-11-28T01:44:04Z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031E280894FF410989B4050D39D4550F_13</vt:lpwstr>
  </property>
</Properties>
</file>