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4DC3">
      <w:pPr>
        <w:autoSpaceDE w:val="0"/>
        <w:autoSpaceDN w:val="0"/>
        <w:adjustRightIn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6"/>
          <w:szCs w:val="36"/>
          <w:highlight w:val="none"/>
          <w:lang w:val="en-US" w:eastAsia="zh-CN"/>
          <w14:textFill>
            <w14:solidFill>
              <w14:schemeClr w14:val="tx1"/>
            </w14:solidFill>
          </w14:textFill>
        </w:rPr>
        <w:t>招标公告</w:t>
      </w:r>
    </w:p>
    <w:p w14:paraId="04A03A03">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1B2156AF">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南京医科大学理化实验室及pcr实验室排风及废气处理设备采购及更换安装（第二次）</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南京市中山路99号12楼1212室</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14:paraId="5029EA74">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28359079"/>
      <w:bookmarkStart w:id="1" w:name="_Toc28359002"/>
      <w:bookmarkStart w:id="2" w:name="_Toc35393621"/>
      <w:bookmarkStart w:id="3" w:name="_Toc35393790"/>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14:paraId="78B96D76">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val="en-US" w:eastAsia="zh-CN"/>
          <w14:textFill>
            <w14:solidFill>
              <w14:schemeClr w14:val="tx1"/>
            </w14:solidFill>
          </w14:textFill>
        </w:rPr>
        <w:t>SNZX-</w:t>
      </w:r>
      <w:r>
        <w:rPr>
          <w:rFonts w:hint="eastAsia" w:ascii="宋体" w:hAnsi="宋体" w:cs="宋体"/>
          <w:color w:val="000000" w:themeColor="text1"/>
          <w:szCs w:val="21"/>
          <w:highlight w:val="none"/>
          <w:lang w:eastAsia="zh-CN"/>
          <w14:textFill>
            <w14:solidFill>
              <w14:schemeClr w14:val="tx1"/>
            </w14:solidFill>
          </w14:textFill>
        </w:rPr>
        <w:t>20240206</w:t>
      </w:r>
    </w:p>
    <w:p w14:paraId="35B5D9B8">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w:t>
      </w:r>
      <w:bookmarkStart w:id="31" w:name="_GoBack"/>
      <w:r>
        <w:rPr>
          <w:rFonts w:hint="eastAsia" w:ascii="宋体" w:hAnsi="宋体" w:cs="宋体"/>
          <w:color w:val="000000" w:themeColor="text1"/>
          <w:szCs w:val="21"/>
          <w:highlight w:val="none"/>
          <w:lang w:eastAsia="zh-CN"/>
          <w14:textFill>
            <w14:solidFill>
              <w14:schemeClr w14:val="tx1"/>
            </w14:solidFill>
          </w14:textFill>
        </w:rPr>
        <w:t>南京医科大学理化实验室及pcr实验室排风及废气处理设备采购及更换安装（</w:t>
      </w:r>
      <w:r>
        <w:rPr>
          <w:rFonts w:hint="eastAsia" w:ascii="宋体" w:hAnsi="宋体" w:cs="宋体"/>
          <w:color w:val="000000" w:themeColor="text1"/>
          <w:szCs w:val="21"/>
          <w:highlight w:val="none"/>
          <w:lang w:val="en-US" w:eastAsia="zh-CN"/>
          <w14:textFill>
            <w14:solidFill>
              <w14:schemeClr w14:val="tx1"/>
            </w14:solidFill>
          </w14:textFill>
        </w:rPr>
        <w:t>第二次</w:t>
      </w:r>
      <w:r>
        <w:rPr>
          <w:rFonts w:hint="eastAsia" w:ascii="宋体" w:hAnsi="宋体" w:cs="宋体"/>
          <w:color w:val="000000" w:themeColor="text1"/>
          <w:szCs w:val="21"/>
          <w:highlight w:val="none"/>
          <w:lang w:eastAsia="zh-CN"/>
          <w14:textFill>
            <w14:solidFill>
              <w14:schemeClr w14:val="tx1"/>
            </w14:solidFill>
          </w14:textFill>
        </w:rPr>
        <w:t>）</w:t>
      </w:r>
      <w:bookmarkEnd w:id="31"/>
    </w:p>
    <w:p w14:paraId="5CCB7C4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万元</w:t>
      </w:r>
    </w:p>
    <w:p w14:paraId="5408F72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val="en-US" w:eastAsia="zh-CN"/>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万元，投标报价超过最高限价的为无效投标。</w:t>
      </w:r>
    </w:p>
    <w:p w14:paraId="0226E3F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南京医科大学理化实验室及pcr实验室排风及废气处理设备采购及更换安装</w:t>
      </w:r>
      <w:r>
        <w:rPr>
          <w:rFonts w:hint="eastAsia" w:ascii="宋体" w:hAnsi="宋体" w:cs="宋体"/>
          <w:color w:val="000000" w:themeColor="text1"/>
          <w:szCs w:val="21"/>
          <w:highlight w:val="none"/>
          <w14:textFill>
            <w14:solidFill>
              <w14:schemeClr w14:val="tx1"/>
            </w14:solidFill>
          </w14:textFill>
        </w:rPr>
        <w:t>，具体详见招标文件。</w:t>
      </w:r>
    </w:p>
    <w:p w14:paraId="7EAEAD2F">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合同履行期限（交货期）：</w:t>
      </w:r>
      <w:bookmarkStart w:id="5" w:name="_Toc35393791"/>
      <w:bookmarkStart w:id="6" w:name="_Toc28359080"/>
      <w:bookmarkStart w:id="7" w:name="_Toc35393622"/>
      <w:bookmarkStart w:id="8" w:name="_Toc28359003"/>
      <w:r>
        <w:rPr>
          <w:rFonts w:hint="eastAsia" w:ascii="宋体" w:hAnsi="宋体" w:cs="Times New Roman"/>
          <w:bCs/>
          <w:color w:val="000000" w:themeColor="text1"/>
          <w:kern w:val="0"/>
          <w:szCs w:val="21"/>
          <w:highlight w:val="none"/>
          <w:lang w:eastAsia="zh-CN"/>
          <w14:textFill>
            <w14:solidFill>
              <w14:schemeClr w14:val="tx1"/>
            </w14:solidFill>
          </w14:textFill>
        </w:rPr>
        <w:t>自合同签订之日起30日内供货并安装调试完毕验收合格交付使用。</w:t>
      </w:r>
    </w:p>
    <w:p w14:paraId="22DD47B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p w14:paraId="060C4A5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是否面向中小企业：否</w:t>
      </w:r>
    </w:p>
    <w:p w14:paraId="1D8CF20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本项目采购标的所属行业为：</w:t>
      </w:r>
      <w:r>
        <w:rPr>
          <w:rFonts w:hint="eastAsia" w:ascii="宋体" w:hAnsi="宋体" w:cs="宋体"/>
          <w:color w:val="000000" w:themeColor="text1"/>
          <w:szCs w:val="21"/>
          <w:highlight w:val="none"/>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p w14:paraId="199F6E0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14:paraId="5F37550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713D0BB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 w:name="_Toc28359004"/>
      <w:bookmarkStart w:id="10" w:name="_Toc28359081"/>
      <w:r>
        <w:rPr>
          <w:rFonts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14:paraId="38DED7A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（2）具有良好的商业信誉和健全的财务会计制度（提供</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highlight w:val="none"/>
          <w14:textFill>
            <w14:solidFill>
              <w14:schemeClr w14:val="tx1"/>
            </w14:solidFill>
          </w14:textFill>
        </w:rPr>
        <w:t>（成立不满一年不需提供）</w:t>
      </w:r>
      <w:r>
        <w:rPr>
          <w:rFonts w:ascii="宋体" w:hAnsi="宋体" w:cs="宋体"/>
          <w:color w:val="000000" w:themeColor="text1"/>
          <w:szCs w:val="21"/>
          <w:highlight w:val="none"/>
          <w14:textFill>
            <w14:solidFill>
              <w14:schemeClr w14:val="tx1"/>
            </w14:solidFill>
          </w14:textFill>
        </w:rPr>
        <w:t>；</w:t>
      </w:r>
    </w:p>
    <w:p w14:paraId="1976D81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4568290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14:paraId="2F42772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14:paraId="3B2689E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（6）法律、行政法规规定的其他条件，提供相关证明材料：无。</w:t>
      </w:r>
    </w:p>
    <w:p w14:paraId="7F80FD8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14:paraId="6233B25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3C01A49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14:paraId="2374B31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14:paraId="6DA97AB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36A0769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7C6B3C4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AA0104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w:t>
      </w:r>
      <w:r>
        <w:rPr>
          <w:rFonts w:hint="eastAsia" w:ascii="宋体" w:hAnsi="宋体" w:cs="宋体"/>
          <w:color w:val="000000" w:themeColor="text1"/>
          <w:szCs w:val="21"/>
          <w:highlight w:val="none"/>
          <w:lang w:eastAsia="zh-CN"/>
          <w14:textFill>
            <w14:solidFill>
              <w14:schemeClr w14:val="tx1"/>
            </w14:solidFill>
          </w14:textFill>
        </w:rPr>
        <w:t>不</w:t>
      </w:r>
      <w:r>
        <w:rPr>
          <w:rFonts w:hint="eastAsia" w:ascii="宋体" w:hAnsi="宋体" w:cs="宋体"/>
          <w:color w:val="000000" w:themeColor="text1"/>
          <w:szCs w:val="21"/>
          <w:highlight w:val="none"/>
          <w14:textFill>
            <w14:solidFill>
              <w14:schemeClr w14:val="tx1"/>
            </w14:solidFill>
          </w14:textFill>
        </w:rPr>
        <w:t>接受进口产品投标。（注：本文件所称进口产品是指通过中国海关报关验放进入中国境内且产自关境外的产品）</w:t>
      </w:r>
    </w:p>
    <w:bookmarkEnd w:id="9"/>
    <w:bookmarkEnd w:id="10"/>
    <w:p w14:paraId="51246E74">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623"/>
      <w:bookmarkStart w:id="12" w:name="_Toc35393792"/>
      <w:bookmarkStart w:id="13" w:name="_Toc28359082"/>
      <w:bookmarkStart w:id="14" w:name="_Toc28359005"/>
      <w:bookmarkStart w:id="15" w:name="_Toc35393624"/>
      <w:bookmarkStart w:id="16" w:name="_Toc35393793"/>
      <w:r>
        <w:rPr>
          <w:rFonts w:hint="eastAsia" w:ascii="宋体" w:hAnsi="宋体" w:cs="宋体"/>
          <w:color w:val="000000" w:themeColor="text1"/>
          <w:szCs w:val="21"/>
          <w:highlight w:val="none"/>
          <w14:textFill>
            <w14:solidFill>
              <w14:schemeClr w14:val="tx1"/>
            </w14:solidFill>
          </w14:textFill>
        </w:rPr>
        <w:t>三、获取纸质招标文件</w:t>
      </w:r>
      <w:bookmarkEnd w:id="11"/>
      <w:bookmarkEnd w:id="12"/>
    </w:p>
    <w:p w14:paraId="3E5A147E">
      <w:pPr>
        <w:spacing w:line="360" w:lineRule="auto"/>
        <w:ind w:firstLine="420" w:firstLineChars="200"/>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时间：</w:t>
      </w:r>
      <w:r>
        <w:rPr>
          <w:rFonts w:hint="eastAsia" w:ascii="宋体" w:hAnsi="宋体" w:cs="宋体"/>
          <w:color w:val="000000" w:themeColor="text1"/>
          <w:szCs w:val="21"/>
          <w:highlight w:val="none"/>
          <w14:textFill>
            <w14:solidFill>
              <w14:schemeClr w14:val="tx1"/>
            </w14:solidFill>
          </w14:textFill>
        </w:rPr>
        <w:t>2024年</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 xml:space="preserve"> 月</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 xml:space="preserve"> 日上午09:00至2024年 </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 xml:space="preserve"> 日下午17:00</w:t>
      </w:r>
    </w:p>
    <w:p w14:paraId="5FF64A7E">
      <w:pPr>
        <w:spacing w:line="360" w:lineRule="auto"/>
        <w:ind w:firstLine="420" w:firstLineChars="200"/>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（1）获取方式：本项目获取网址为：</w:t>
      </w:r>
      <w:r>
        <w:rPr>
          <w:rFonts w:hint="eastAsia" w:ascii="宋体" w:hAnsi="宋体" w:cs="黑体"/>
          <w:color w:val="000000" w:themeColor="text1"/>
          <w:sz w:val="21"/>
          <w:szCs w:val="21"/>
          <w:highlight w:val="none"/>
          <w:lang w:val="en-US" w:eastAsia="zh-CN"/>
          <w14:textFill>
            <w14:solidFill>
              <w14:schemeClr w14:val="tx1"/>
            </w14:solidFill>
          </w14:textFill>
        </w:rPr>
        <w:t>https://njsnzx.cn/#/detail?id=1087</w:t>
      </w:r>
      <w:r>
        <w:rPr>
          <w:rFonts w:hint="eastAsia" w:ascii="宋体" w:hAnsi="宋体" w:cs="黑体"/>
          <w:color w:val="000000" w:themeColor="text1"/>
          <w:sz w:val="21"/>
          <w:szCs w:val="21"/>
          <w:highlight w:val="none"/>
          <w14:textFill>
            <w14:solidFill>
              <w14:schemeClr w14:val="tx1"/>
            </w14:solidFill>
          </w14:textFill>
        </w:rPr>
        <w:t>；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1113A9CB">
      <w:pPr>
        <w:spacing w:line="360" w:lineRule="auto"/>
        <w:ind w:firstLine="420" w:firstLineChars="200"/>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（2）北京时间，法定节假日除外；未按照上述要求合法获取招标（采购）文件的，招标（采购）人将不予受理其投标（响应）。</w:t>
      </w:r>
    </w:p>
    <w:p w14:paraId="364DD26E">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14:paraId="418052EF">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分（北京时间）</w:t>
      </w:r>
    </w:p>
    <w:p w14:paraId="3417CE8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6A28A970">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35393794"/>
      <w:bookmarkStart w:id="18" w:name="_Toc28359084"/>
      <w:bookmarkStart w:id="19" w:name="_Toc28359007"/>
      <w:bookmarkStart w:id="20" w:name="_Toc35393625"/>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14:paraId="1E6AD3F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43D89C67">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795"/>
      <w:bookmarkStart w:id="22" w:name="_Toc35393626"/>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14:paraId="5A614F2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14:paraId="61B3ADA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6905E8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A92C93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28359008"/>
      <w:bookmarkStart w:id="24" w:name="_Toc35393627"/>
      <w:bookmarkStart w:id="25" w:name="_Toc28359085"/>
      <w:bookmarkStart w:id="26" w:name="_Toc35393796"/>
      <w:r>
        <w:rPr>
          <w:rFonts w:hint="eastAsia" w:ascii="宋体" w:hAnsi="宋体" w:cs="宋体"/>
          <w:color w:val="000000" w:themeColor="text1"/>
          <w:szCs w:val="21"/>
          <w:highlight w:val="none"/>
          <w14:textFill>
            <w14:solidFill>
              <w14:schemeClr w14:val="tx1"/>
            </w14:solidFill>
          </w14:textFill>
        </w:rPr>
        <w:t>3.公告媒体</w:t>
      </w:r>
    </w:p>
    <w:p w14:paraId="08D0A0B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（1）本采购公告在南京医科大学（https://www.njmu.edu.cn/668/list.htm/）公示发布，敬请各投标人关注；</w:t>
      </w:r>
    </w:p>
    <w:p w14:paraId="02F4429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（2）若有关本次采购存在变动或修改，敬请各投标人及时关注南京医科大学（https://www.njmu.edu.cn/668/list.htm/）发布的关于本项目的信息更正公告。</w:t>
      </w:r>
    </w:p>
    <w:p w14:paraId="1E363C6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5D364C0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08FFEE7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333A497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4765C4E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23F21EEB">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14:paraId="77F21E4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65077CF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27" w:name="_Toc28359009"/>
      <w:bookmarkStart w:id="28" w:name="_Toc28359086"/>
      <w:r>
        <w:rPr>
          <w:rFonts w:hint="eastAsia" w:ascii="宋体" w:hAnsi="宋体" w:cs="宋体"/>
          <w:color w:val="000000" w:themeColor="text1"/>
          <w:szCs w:val="21"/>
          <w:highlight w:val="none"/>
          <w14:textFill>
            <w14:solidFill>
              <w14:schemeClr w14:val="tx1"/>
            </w14:solidFill>
          </w14:textFill>
        </w:rPr>
        <w:t>名称：南京医科大学</w:t>
      </w:r>
    </w:p>
    <w:p w14:paraId="3EF5DEDC">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地址：南京市江宁区龙眠大道101号</w:t>
      </w:r>
    </w:p>
    <w:p w14:paraId="14CEB5A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lang w:eastAsia="zh-CN"/>
          <w14:textFill>
            <w14:solidFill>
              <w14:schemeClr w14:val="tx1"/>
            </w14:solidFill>
          </w14:textFill>
        </w:rPr>
        <w:t>仲</w:t>
      </w:r>
      <w:r>
        <w:rPr>
          <w:rFonts w:hint="eastAsia" w:ascii="宋体" w:hAnsi="宋体" w:cs="宋体"/>
          <w:color w:val="000000" w:themeColor="text1"/>
          <w:szCs w:val="21"/>
          <w:highlight w:val="none"/>
          <w14:textFill>
            <w14:solidFill>
              <w14:schemeClr w14:val="tx1"/>
            </w14:solidFill>
          </w14:textFill>
        </w:rPr>
        <w:t xml:space="preserve">老师 </w:t>
      </w:r>
    </w:p>
    <w:p w14:paraId="5945C59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联系电话：025-</w:t>
      </w:r>
      <w:r>
        <w:rPr>
          <w:rFonts w:hint="eastAsia" w:ascii="宋体" w:hAnsi="宋体" w:cs="宋体"/>
          <w:color w:val="000000" w:themeColor="text1"/>
          <w:szCs w:val="21"/>
          <w:highlight w:val="none"/>
          <w:lang w:val="en-US" w:eastAsia="zh-CN"/>
          <w14:textFill>
            <w14:solidFill>
              <w14:schemeClr w14:val="tx1"/>
            </w14:solidFill>
          </w14:textFill>
        </w:rPr>
        <w:t>86869281</w:t>
      </w:r>
    </w:p>
    <w:p w14:paraId="2F0694A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14:paraId="5E8BEC5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14:paraId="6CCCF6E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地址：南京市鼓楼区中山路99号12楼1212室</w:t>
      </w:r>
    </w:p>
    <w:p w14:paraId="602AF1E5">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highlight w:val="none"/>
          <w14:textFill>
            <w14:solidFill>
              <w14:schemeClr w14:val="tx1"/>
            </w14:solidFill>
          </w14:textFill>
        </w:rPr>
        <w:t>李工025-</w:t>
      </w:r>
      <w:r>
        <w:rPr>
          <w:rFonts w:hint="eastAsia" w:ascii="宋体" w:hAnsi="宋体" w:cs="宋体"/>
          <w:color w:val="000000" w:themeColor="text1"/>
          <w:szCs w:val="21"/>
          <w:highlight w:val="none"/>
          <w:lang w:eastAsia="zh-CN"/>
          <w14:textFill>
            <w14:solidFill>
              <w14:schemeClr w14:val="tx1"/>
            </w14:solidFill>
          </w14:textFill>
        </w:rPr>
        <w:t>84200809</w:t>
      </w:r>
    </w:p>
    <w:p w14:paraId="7E256C0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w:t>
      </w:r>
      <w:bookmarkEnd w:id="29"/>
      <w:bookmarkEnd w:id="30"/>
    </w:p>
    <w:p w14:paraId="3D3BB596">
      <w:pPr>
        <w:spacing w:line="360" w:lineRule="auto"/>
        <w:ind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电话：025-</w:t>
      </w:r>
      <w:r>
        <w:rPr>
          <w:rFonts w:hint="eastAsia" w:ascii="宋体" w:hAnsi="宋体" w:cs="宋体"/>
          <w:color w:val="000000" w:themeColor="text1"/>
          <w:szCs w:val="21"/>
          <w:highlight w:val="none"/>
          <w:lang w:eastAsia="zh-CN"/>
          <w14:textFill>
            <w14:solidFill>
              <w14:schemeClr w14:val="tx1"/>
            </w14:solidFill>
          </w14:textFill>
        </w:rPr>
        <w:t>84200809</w:t>
      </w:r>
    </w:p>
    <w:p w14:paraId="6BD396D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103DF27C">
      <w:pPr>
        <w:spacing w:line="360" w:lineRule="auto"/>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南京苏宁工程咨询有限公司</w:t>
      </w:r>
    </w:p>
    <w:p w14:paraId="7CA81C49">
      <w:pPr>
        <w:spacing w:line="360" w:lineRule="auto"/>
        <w:ind w:firstLine="420" w:firstLineChars="200"/>
        <w:jc w:val="righ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2024年11月20日</w:t>
      </w:r>
    </w:p>
    <w:p w14:paraId="043E77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84A58"/>
    <w:rsid w:val="3B28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2024-11-20T03:02:00Z</dcterms:created>
  <dc:creator>乌米团子</dc:creator>
  <cp:lastModifiedBy>乌米团子</cp:lastModifiedBy>
  <dcterms:modified xsi:type="dcterms:W3CDTF">2024-11-20T03:03:20Z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B7017CADD2B94A52B239F15B64F8E2FC_11</vt:lpwstr>
  </property>
</Properties>
</file>