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C60A">
      <w:pPr>
        <w:spacing w:before="156" w:beforeLines="50" w:after="156" w:afterLines="50"/>
        <w:jc w:val="center"/>
        <w:rPr>
          <w:rFonts w:hint="eastAsia" w:ascii="宋体" w:hAnsi="宋体" w:cs="宋体"/>
          <w:b/>
          <w:bCs/>
          <w:sz w:val="36"/>
          <w:szCs w:val="36"/>
        </w:rPr>
      </w:pPr>
      <w:bookmarkStart w:id="0" w:name="OLE_LINK1"/>
      <w:bookmarkStart w:id="1" w:name="_Toc20823314"/>
      <w:bookmarkStart w:id="2" w:name="_Toc479757207"/>
      <w:bookmarkStart w:id="3" w:name="_Toc513029242"/>
      <w:bookmarkStart w:id="4" w:name="OLE_LINK2"/>
      <w:bookmarkStart w:id="5" w:name="_Toc16938558"/>
      <w:bookmarkStart w:id="6" w:name="_Toc444669970"/>
      <w:bookmarkStart w:id="7" w:name="_Toc120614221"/>
      <w:bookmarkStart w:id="8" w:name="_Toc120614211"/>
      <w:r>
        <w:rPr>
          <w:rFonts w:hint="eastAsia" w:ascii="宋体" w:hAnsi="宋体" w:cs="宋体"/>
          <w:b/>
          <w:bCs/>
          <w:sz w:val="36"/>
          <w:szCs w:val="36"/>
        </w:rPr>
        <w:t>南京医科大学全自动高速旋光仪等设备采购项目</w:t>
      </w:r>
    </w:p>
    <w:p w14:paraId="265783DE">
      <w:pPr>
        <w:spacing w:before="156" w:beforeLines="50" w:after="156" w:afterLines="50"/>
        <w:jc w:val="center"/>
        <w:rPr>
          <w:rFonts w:ascii="宋体" w:hAnsi="宋体" w:cs="宋体"/>
          <w:b/>
          <w:bCs/>
          <w:sz w:val="36"/>
          <w:szCs w:val="36"/>
        </w:rPr>
      </w:pPr>
      <w:r>
        <w:rPr>
          <w:rFonts w:hint="eastAsia" w:ascii="宋体" w:hAnsi="宋体" w:cs="宋体"/>
          <w:b/>
          <w:bCs/>
          <w:sz w:val="36"/>
          <w:szCs w:val="36"/>
        </w:rPr>
        <w:t>招标公告</w:t>
      </w:r>
    </w:p>
    <w:bookmarkEnd w:id="0"/>
    <w:bookmarkEnd w:id="1"/>
    <w:bookmarkEnd w:id="2"/>
    <w:bookmarkEnd w:id="3"/>
    <w:bookmarkEnd w:id="4"/>
    <w:bookmarkEnd w:id="5"/>
    <w:bookmarkEnd w:id="6"/>
    <w:bookmarkEnd w:id="7"/>
    <w:bookmarkEnd w:id="8"/>
    <w:p w14:paraId="07C9AFAC">
      <w:pPr>
        <w:spacing w:before="120" w:beforeLines="50" w:after="120" w:afterLines="50"/>
        <w:ind w:firstLine="480" w:firstLineChars="200"/>
        <w:rPr>
          <w:rFonts w:hint="eastAsia" w:ascii="宋体" w:hAnsi="宋体" w:cs="宋体"/>
          <w:color w:val="FF0000"/>
          <w:sz w:val="24"/>
          <w:szCs w:val="24"/>
        </w:rPr>
      </w:pPr>
      <w:r>
        <w:rPr>
          <w:rFonts w:hint="eastAsia" w:ascii="宋体" w:hAnsi="宋体" w:cs="宋体"/>
          <w:sz w:val="24"/>
          <w:szCs w:val="24"/>
        </w:rPr>
        <w:t>南京医科大学就</w:t>
      </w:r>
      <w:r>
        <w:rPr>
          <w:rFonts w:hint="eastAsia" w:ascii="宋体" w:hAnsi="宋体" w:cs="宋体"/>
          <w:sz w:val="24"/>
          <w:szCs w:val="24"/>
          <w:u w:val="single"/>
        </w:rPr>
        <w:t>南京医科大学全自动高速旋光仪等设备采购项目</w:t>
      </w:r>
      <w:r>
        <w:rPr>
          <w:rFonts w:hint="eastAsia" w:ascii="宋体" w:hAnsi="宋体" w:cs="宋体"/>
          <w:sz w:val="24"/>
          <w:szCs w:val="24"/>
        </w:rPr>
        <w:t>公开招标，相应资金已落实，欢迎符合招标公告资质要求的投标人前来投标。</w:t>
      </w:r>
    </w:p>
    <w:p w14:paraId="5F64FDC0">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一、项目基本情况</w:t>
      </w:r>
      <w:bookmarkStart w:id="16" w:name="_GoBack"/>
      <w:bookmarkEnd w:id="16"/>
    </w:p>
    <w:p w14:paraId="4067854B">
      <w:pPr>
        <w:ind w:firstLine="480" w:firstLineChars="200"/>
        <w:rPr>
          <w:rFonts w:hint="eastAsia" w:ascii="宋体" w:hAnsi="宋体" w:cs="宋体"/>
          <w:color w:val="FF0000"/>
          <w:sz w:val="24"/>
          <w:szCs w:val="24"/>
        </w:rPr>
      </w:pPr>
      <w:r>
        <w:rPr>
          <w:rFonts w:hint="eastAsia" w:ascii="宋体" w:hAnsi="宋体" w:cs="宋体"/>
          <w:sz w:val="24"/>
          <w:szCs w:val="24"/>
        </w:rPr>
        <w:t>1.1项目名称：南京医科大学全自动高速旋光仪等设备采购项目</w:t>
      </w:r>
    </w:p>
    <w:p w14:paraId="5E716037">
      <w:pPr>
        <w:ind w:firstLine="480" w:firstLineChars="200"/>
        <w:rPr>
          <w:rFonts w:hint="eastAsia" w:ascii="宋体" w:hAnsi="宋体" w:cs="宋体"/>
          <w:sz w:val="24"/>
          <w:szCs w:val="24"/>
        </w:rPr>
      </w:pPr>
      <w:r>
        <w:rPr>
          <w:rFonts w:hint="eastAsia" w:ascii="宋体" w:hAnsi="宋体" w:cs="宋体"/>
          <w:sz w:val="24"/>
          <w:szCs w:val="24"/>
        </w:rPr>
        <w:t>1.2项目编号：1678-264105728HTT</w:t>
      </w:r>
    </w:p>
    <w:p w14:paraId="3E85133E">
      <w:pPr>
        <w:ind w:firstLine="480" w:firstLineChars="200"/>
        <w:rPr>
          <w:rFonts w:hint="eastAsia" w:ascii="宋体" w:hAnsi="宋体" w:cs="宋体"/>
          <w:sz w:val="24"/>
          <w:szCs w:val="24"/>
        </w:rPr>
      </w:pPr>
      <w:r>
        <w:rPr>
          <w:rFonts w:hint="eastAsia" w:ascii="宋体" w:hAnsi="宋体" w:cs="宋体"/>
          <w:sz w:val="24"/>
          <w:szCs w:val="24"/>
        </w:rPr>
        <w:t xml:space="preserve">1.3项目预算：人民币55.35万元 </w:t>
      </w:r>
    </w:p>
    <w:p w14:paraId="124015A1">
      <w:pPr>
        <w:ind w:firstLine="480" w:firstLineChars="200"/>
        <w:rPr>
          <w:rFonts w:hint="eastAsia" w:ascii="宋体" w:hAnsi="宋体" w:cs="宋体"/>
          <w:sz w:val="24"/>
          <w:szCs w:val="24"/>
        </w:rPr>
      </w:pPr>
      <w:r>
        <w:rPr>
          <w:rFonts w:hint="eastAsia" w:ascii="宋体" w:hAnsi="宋体" w:cs="宋体"/>
          <w:sz w:val="24"/>
          <w:szCs w:val="24"/>
        </w:rPr>
        <w:t xml:space="preserve">1.4最高总限价：人民币55.35万元，投标报价超过最高限价的为无效投标 </w:t>
      </w:r>
    </w:p>
    <w:p w14:paraId="3F8A8EBD">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二、项目需求</w:t>
      </w:r>
    </w:p>
    <w:p w14:paraId="4192CCEA">
      <w:pPr>
        <w:ind w:firstLine="480" w:firstLineChars="200"/>
        <w:rPr>
          <w:rFonts w:hint="eastAsia" w:ascii="宋体" w:hAnsi="宋体" w:cs="宋体"/>
          <w:sz w:val="24"/>
          <w:szCs w:val="24"/>
        </w:rPr>
      </w:pPr>
      <w:r>
        <w:rPr>
          <w:rFonts w:hint="eastAsia" w:ascii="宋体" w:hAnsi="宋体" w:cs="宋体"/>
          <w:sz w:val="24"/>
          <w:szCs w:val="24"/>
        </w:rPr>
        <w:t>2.1采购需求：</w:t>
      </w:r>
    </w:p>
    <w:tbl>
      <w:tblPr>
        <w:tblStyle w:val="15"/>
        <w:tblW w:w="9281" w:type="dxa"/>
        <w:jc w:val="center"/>
        <w:tblLayout w:type="fixed"/>
        <w:tblCellMar>
          <w:top w:w="0" w:type="dxa"/>
          <w:left w:w="0" w:type="dxa"/>
          <w:bottom w:w="0" w:type="dxa"/>
          <w:right w:w="0" w:type="dxa"/>
        </w:tblCellMar>
      </w:tblPr>
      <w:tblGrid>
        <w:gridCol w:w="846"/>
        <w:gridCol w:w="2100"/>
        <w:gridCol w:w="900"/>
        <w:gridCol w:w="630"/>
        <w:gridCol w:w="1545"/>
        <w:gridCol w:w="1395"/>
        <w:gridCol w:w="1865"/>
      </w:tblGrid>
      <w:tr w14:paraId="5555E530">
        <w:tblPrEx>
          <w:tblCellMar>
            <w:top w:w="0" w:type="dxa"/>
            <w:left w:w="0" w:type="dxa"/>
            <w:bottom w:w="0" w:type="dxa"/>
            <w:right w:w="0" w:type="dxa"/>
          </w:tblCellMar>
        </w:tblPrEx>
        <w:trPr>
          <w:trHeight w:val="842" w:hRule="atLeast"/>
          <w:jc w:val="center"/>
        </w:trPr>
        <w:tc>
          <w:tcPr>
            <w:tcW w:w="846" w:type="dxa"/>
            <w:tcBorders>
              <w:top w:val="single" w:color="auto" w:sz="4" w:space="0"/>
              <w:left w:val="single" w:color="auto" w:sz="4" w:space="0"/>
              <w:bottom w:val="single" w:color="auto" w:sz="4" w:space="0"/>
              <w:right w:val="single" w:color="000000" w:sz="4" w:space="0"/>
            </w:tcBorders>
            <w:vAlign w:val="center"/>
          </w:tcPr>
          <w:p w14:paraId="37CC0832">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2100" w:type="dxa"/>
            <w:tcBorders>
              <w:top w:val="single" w:color="auto" w:sz="4" w:space="0"/>
              <w:left w:val="single" w:color="000000" w:sz="4" w:space="0"/>
              <w:bottom w:val="single" w:color="auto" w:sz="4" w:space="0"/>
              <w:right w:val="single" w:color="000000" w:sz="4" w:space="0"/>
            </w:tcBorders>
            <w:vAlign w:val="center"/>
          </w:tcPr>
          <w:p w14:paraId="2963422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采购名称</w:t>
            </w:r>
          </w:p>
        </w:tc>
        <w:tc>
          <w:tcPr>
            <w:tcW w:w="900" w:type="dxa"/>
            <w:tcBorders>
              <w:top w:val="single" w:color="auto" w:sz="4" w:space="0"/>
              <w:left w:val="single" w:color="000000" w:sz="4" w:space="0"/>
              <w:bottom w:val="single" w:color="auto" w:sz="4" w:space="0"/>
              <w:right w:val="single" w:color="000000" w:sz="4" w:space="0"/>
            </w:tcBorders>
            <w:vAlign w:val="center"/>
          </w:tcPr>
          <w:p w14:paraId="5FEE9448">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数量</w:t>
            </w:r>
          </w:p>
        </w:tc>
        <w:tc>
          <w:tcPr>
            <w:tcW w:w="630" w:type="dxa"/>
            <w:tcBorders>
              <w:top w:val="single" w:color="auto" w:sz="4" w:space="0"/>
              <w:left w:val="single" w:color="000000" w:sz="4" w:space="0"/>
              <w:bottom w:val="single" w:color="auto" w:sz="4" w:space="0"/>
              <w:right w:val="single" w:color="000000" w:sz="4" w:space="0"/>
            </w:tcBorders>
            <w:vAlign w:val="center"/>
          </w:tcPr>
          <w:p w14:paraId="5EBB897D">
            <w:pPr>
              <w:spacing w:line="240" w:lineRule="auto"/>
              <w:jc w:val="center"/>
              <w:textAlignment w:val="center"/>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单位</w:t>
            </w:r>
          </w:p>
        </w:tc>
        <w:tc>
          <w:tcPr>
            <w:tcW w:w="1545"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5B965980">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单价</w:t>
            </w:r>
          </w:p>
          <w:p w14:paraId="31F45C37">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（元）</w:t>
            </w:r>
          </w:p>
        </w:tc>
        <w:tc>
          <w:tcPr>
            <w:tcW w:w="1395"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06828639">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总价</w:t>
            </w:r>
          </w:p>
          <w:p w14:paraId="5863DCD2">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（最高限价元）</w:t>
            </w:r>
          </w:p>
        </w:tc>
        <w:tc>
          <w:tcPr>
            <w:tcW w:w="1865" w:type="dxa"/>
            <w:tcBorders>
              <w:top w:val="single" w:color="auto" w:sz="4" w:space="0"/>
              <w:left w:val="single" w:color="000000" w:sz="4" w:space="0"/>
              <w:bottom w:val="single" w:color="auto" w:sz="4" w:space="0"/>
              <w:right w:val="single" w:color="auto" w:sz="4" w:space="0"/>
            </w:tcBorders>
            <w:tcMar>
              <w:top w:w="283" w:type="dxa"/>
              <w:left w:w="0" w:type="dxa"/>
              <w:bottom w:w="0" w:type="dxa"/>
              <w:right w:w="0" w:type="dxa"/>
            </w:tcMar>
            <w:vAlign w:val="center"/>
          </w:tcPr>
          <w:p w14:paraId="0A1B5343">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是否接受进口货物投标</w:t>
            </w:r>
          </w:p>
        </w:tc>
      </w:tr>
      <w:tr w14:paraId="72C1E4FE">
        <w:tblPrEx>
          <w:tblCellMar>
            <w:top w:w="0" w:type="dxa"/>
            <w:left w:w="0" w:type="dxa"/>
            <w:bottom w:w="0" w:type="dxa"/>
            <w:right w:w="0" w:type="dxa"/>
          </w:tblCellMar>
        </w:tblPrEx>
        <w:trPr>
          <w:trHeight w:val="1641" w:hRule="atLeast"/>
          <w:jc w:val="center"/>
        </w:trPr>
        <w:tc>
          <w:tcPr>
            <w:tcW w:w="846" w:type="dxa"/>
            <w:tcBorders>
              <w:top w:val="single" w:color="auto" w:sz="4" w:space="0"/>
              <w:left w:val="single" w:color="000000" w:sz="4" w:space="0"/>
              <w:bottom w:val="single" w:color="000000" w:sz="4" w:space="0"/>
              <w:right w:val="single" w:color="000000" w:sz="4" w:space="0"/>
            </w:tcBorders>
            <w:noWrap/>
            <w:vAlign w:val="center"/>
          </w:tcPr>
          <w:p w14:paraId="5B4656F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0" w:type="dxa"/>
            <w:tcBorders>
              <w:top w:val="single" w:color="auto" w:sz="4" w:space="0"/>
              <w:left w:val="single" w:color="000000" w:sz="4" w:space="0"/>
              <w:bottom w:val="single" w:color="000000" w:sz="4" w:space="0"/>
              <w:right w:val="single" w:color="000000" w:sz="4" w:space="0"/>
            </w:tcBorders>
            <w:vAlign w:val="center"/>
          </w:tcPr>
          <w:p w14:paraId="105E8CB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全自动高速旋光仪（核心产品）</w:t>
            </w:r>
          </w:p>
        </w:tc>
        <w:tc>
          <w:tcPr>
            <w:tcW w:w="900" w:type="dxa"/>
            <w:tcBorders>
              <w:top w:val="single" w:color="auto" w:sz="4" w:space="0"/>
              <w:left w:val="single" w:color="000000" w:sz="4" w:space="0"/>
              <w:bottom w:val="single" w:color="000000" w:sz="4" w:space="0"/>
              <w:right w:val="single" w:color="000000" w:sz="4" w:space="0"/>
            </w:tcBorders>
            <w:noWrap/>
            <w:vAlign w:val="center"/>
          </w:tcPr>
          <w:p w14:paraId="1648692D">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630" w:type="dxa"/>
            <w:tcBorders>
              <w:top w:val="single" w:color="auto" w:sz="4" w:space="0"/>
              <w:left w:val="single" w:color="000000" w:sz="4" w:space="0"/>
              <w:bottom w:val="single" w:color="000000" w:sz="4" w:space="0"/>
              <w:right w:val="single" w:color="000000" w:sz="4" w:space="0"/>
            </w:tcBorders>
            <w:noWrap/>
            <w:vAlign w:val="center"/>
          </w:tcPr>
          <w:p w14:paraId="72F79506">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台</w:t>
            </w:r>
          </w:p>
        </w:tc>
        <w:tc>
          <w:tcPr>
            <w:tcW w:w="1545" w:type="dxa"/>
            <w:tcBorders>
              <w:top w:val="single" w:color="auto" w:sz="4" w:space="0"/>
              <w:left w:val="single" w:color="000000" w:sz="4" w:space="0"/>
              <w:bottom w:val="single" w:color="000000" w:sz="4" w:space="0"/>
              <w:right w:val="single" w:color="000000" w:sz="4" w:space="0"/>
            </w:tcBorders>
            <w:noWrap/>
            <w:vAlign w:val="center"/>
          </w:tcPr>
          <w:p w14:paraId="1F1CF16E">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33000</w:t>
            </w:r>
          </w:p>
        </w:tc>
        <w:tc>
          <w:tcPr>
            <w:tcW w:w="1395" w:type="dxa"/>
            <w:tcBorders>
              <w:top w:val="single" w:color="auto" w:sz="4" w:space="0"/>
              <w:left w:val="single" w:color="000000" w:sz="4" w:space="0"/>
              <w:bottom w:val="single" w:color="000000" w:sz="4" w:space="0"/>
              <w:right w:val="single" w:color="auto" w:sz="4" w:space="0"/>
            </w:tcBorders>
            <w:noWrap/>
            <w:vAlign w:val="center"/>
          </w:tcPr>
          <w:p w14:paraId="3466D25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198000</w:t>
            </w:r>
          </w:p>
        </w:tc>
        <w:tc>
          <w:tcPr>
            <w:tcW w:w="1865" w:type="dxa"/>
            <w:vMerge w:val="restart"/>
            <w:tcBorders>
              <w:top w:val="single" w:color="auto" w:sz="4" w:space="0"/>
              <w:left w:val="single" w:color="auto" w:sz="4" w:space="0"/>
              <w:right w:val="single" w:color="auto" w:sz="4" w:space="0"/>
            </w:tcBorders>
            <w:noWrap/>
            <w:vAlign w:val="center"/>
          </w:tcPr>
          <w:p w14:paraId="679F4098">
            <w:pPr>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否</w:t>
            </w:r>
          </w:p>
          <w:p w14:paraId="637DF8E2">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（文中进口产品相关表述不适用）</w:t>
            </w:r>
          </w:p>
        </w:tc>
      </w:tr>
      <w:tr w14:paraId="617C6F04">
        <w:tblPrEx>
          <w:tblCellMar>
            <w:top w:w="0" w:type="dxa"/>
            <w:left w:w="0" w:type="dxa"/>
            <w:bottom w:w="0" w:type="dxa"/>
            <w:right w:w="0" w:type="dxa"/>
          </w:tblCellMar>
        </w:tblPrEx>
        <w:trPr>
          <w:trHeight w:val="1641" w:hRule="atLeas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137ADDE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0" w:type="dxa"/>
            <w:tcBorders>
              <w:top w:val="single" w:color="000000" w:sz="4" w:space="0"/>
              <w:left w:val="single" w:color="000000" w:sz="4" w:space="0"/>
              <w:bottom w:val="single" w:color="000000" w:sz="4" w:space="0"/>
              <w:right w:val="single" w:color="000000" w:sz="4" w:space="0"/>
            </w:tcBorders>
            <w:vAlign w:val="center"/>
          </w:tcPr>
          <w:p w14:paraId="6B9EF972">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万分之一电子分析天平</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CD47C28">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EABDA2F">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台</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1DDF3C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8500</w:t>
            </w:r>
          </w:p>
        </w:tc>
        <w:tc>
          <w:tcPr>
            <w:tcW w:w="1395" w:type="dxa"/>
            <w:tcBorders>
              <w:top w:val="single" w:color="000000" w:sz="4" w:space="0"/>
              <w:left w:val="single" w:color="000000" w:sz="4" w:space="0"/>
              <w:bottom w:val="single" w:color="000000" w:sz="4" w:space="0"/>
              <w:right w:val="single" w:color="auto" w:sz="4" w:space="0"/>
            </w:tcBorders>
            <w:noWrap/>
            <w:vAlign w:val="center"/>
          </w:tcPr>
          <w:p w14:paraId="6ADDBD55">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127500</w:t>
            </w:r>
          </w:p>
        </w:tc>
        <w:tc>
          <w:tcPr>
            <w:tcW w:w="1865" w:type="dxa"/>
            <w:vMerge w:val="continue"/>
            <w:tcBorders>
              <w:left w:val="single" w:color="auto" w:sz="4" w:space="0"/>
              <w:right w:val="single" w:color="auto" w:sz="4" w:space="0"/>
            </w:tcBorders>
            <w:noWrap/>
            <w:vAlign w:val="center"/>
          </w:tcPr>
          <w:p w14:paraId="57B54DF4">
            <w:pPr>
              <w:jc w:val="center"/>
              <w:rPr>
                <w:rFonts w:hint="eastAsia" w:ascii="宋体" w:hAnsi="宋体" w:cs="宋体"/>
                <w:color w:val="000000" w:themeColor="text1"/>
                <w:sz w:val="24"/>
                <w:szCs w:val="24"/>
                <w14:textFill>
                  <w14:solidFill>
                    <w14:schemeClr w14:val="tx1"/>
                  </w14:solidFill>
                </w14:textFill>
              </w:rPr>
            </w:pPr>
          </w:p>
        </w:tc>
      </w:tr>
      <w:tr w14:paraId="7F908EC2">
        <w:tblPrEx>
          <w:tblCellMar>
            <w:top w:w="0" w:type="dxa"/>
            <w:left w:w="0" w:type="dxa"/>
            <w:bottom w:w="0" w:type="dxa"/>
            <w:right w:w="0" w:type="dxa"/>
          </w:tblCellMar>
        </w:tblPrEx>
        <w:trPr>
          <w:trHeight w:val="1641" w:hRule="atLeas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4D396689">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0" w:type="dxa"/>
            <w:tcBorders>
              <w:top w:val="single" w:color="000000" w:sz="4" w:space="0"/>
              <w:left w:val="single" w:color="000000" w:sz="4" w:space="0"/>
              <w:bottom w:val="single" w:color="000000" w:sz="4" w:space="0"/>
              <w:right w:val="single" w:color="000000" w:sz="4" w:space="0"/>
            </w:tcBorders>
            <w:vAlign w:val="center"/>
          </w:tcPr>
          <w:p w14:paraId="2E1F7F45">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触摸屏紫外可见分光光度计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9624A5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AC9CD82">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台</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4ADDC406">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19000</w:t>
            </w:r>
          </w:p>
        </w:tc>
        <w:tc>
          <w:tcPr>
            <w:tcW w:w="1395" w:type="dxa"/>
            <w:tcBorders>
              <w:top w:val="single" w:color="000000" w:sz="4" w:space="0"/>
              <w:left w:val="single" w:color="000000" w:sz="4" w:space="0"/>
              <w:bottom w:val="single" w:color="000000" w:sz="4" w:space="0"/>
              <w:right w:val="single" w:color="auto" w:sz="4" w:space="0"/>
            </w:tcBorders>
            <w:noWrap/>
            <w:vAlign w:val="center"/>
          </w:tcPr>
          <w:p w14:paraId="38B6052E">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228000</w:t>
            </w:r>
          </w:p>
        </w:tc>
        <w:tc>
          <w:tcPr>
            <w:tcW w:w="1865" w:type="dxa"/>
            <w:vMerge w:val="continue"/>
            <w:tcBorders>
              <w:left w:val="single" w:color="auto" w:sz="4" w:space="0"/>
              <w:right w:val="single" w:color="auto" w:sz="4" w:space="0"/>
            </w:tcBorders>
            <w:noWrap/>
            <w:vAlign w:val="center"/>
          </w:tcPr>
          <w:p w14:paraId="39F177E0">
            <w:pPr>
              <w:jc w:val="center"/>
              <w:rPr>
                <w:rFonts w:hint="eastAsia" w:ascii="宋体" w:hAnsi="宋体" w:cs="宋体"/>
                <w:color w:val="000000" w:themeColor="text1"/>
                <w:sz w:val="24"/>
                <w:szCs w:val="24"/>
                <w14:textFill>
                  <w14:solidFill>
                    <w14:schemeClr w14:val="tx1"/>
                  </w14:solidFill>
                </w14:textFill>
              </w:rPr>
            </w:pPr>
          </w:p>
        </w:tc>
      </w:tr>
      <w:tr w14:paraId="299C844E">
        <w:tblPrEx>
          <w:tblCellMar>
            <w:top w:w="0" w:type="dxa"/>
            <w:left w:w="0" w:type="dxa"/>
            <w:bottom w:w="0" w:type="dxa"/>
            <w:right w:w="0" w:type="dxa"/>
          </w:tblCellMar>
        </w:tblPrEx>
        <w:trPr>
          <w:trHeight w:val="612" w:hRule="atLeast"/>
          <w:jc w:val="center"/>
        </w:trPr>
        <w:tc>
          <w:tcPr>
            <w:tcW w:w="7416" w:type="dxa"/>
            <w:gridSpan w:val="6"/>
            <w:tcBorders>
              <w:top w:val="single" w:color="000000" w:sz="4" w:space="0"/>
              <w:left w:val="single" w:color="000000" w:sz="4" w:space="0"/>
              <w:bottom w:val="single" w:color="000000" w:sz="4" w:space="0"/>
              <w:right w:val="single" w:color="auto" w:sz="4" w:space="0"/>
            </w:tcBorders>
            <w:noWrap/>
            <w:tcMar>
              <w:top w:w="170" w:type="dxa"/>
              <w:left w:w="0" w:type="dxa"/>
              <w:bottom w:w="0" w:type="dxa"/>
              <w:right w:w="0" w:type="dxa"/>
            </w:tcMar>
            <w:vAlign w:val="center"/>
          </w:tcPr>
          <w:p w14:paraId="7DBBE370">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合计：</w:t>
            </w:r>
            <w:r>
              <w:rPr>
                <w:rFonts w:hint="eastAsia" w:ascii="宋体" w:hAnsi="宋体" w:cs="宋体"/>
                <w:sz w:val="24"/>
                <w:szCs w:val="24"/>
              </w:rPr>
              <w:t>55.35</w:t>
            </w:r>
            <w:r>
              <w:rPr>
                <w:rFonts w:hint="eastAsia" w:ascii="宋体" w:hAnsi="宋体" w:cs="宋体"/>
                <w:b/>
                <w:bCs/>
                <w:color w:val="000000" w:themeColor="text1"/>
                <w:sz w:val="24"/>
                <w:szCs w:val="24"/>
                <w14:textFill>
                  <w14:solidFill>
                    <w14:schemeClr w14:val="tx1"/>
                  </w14:solidFill>
                </w14:textFill>
              </w:rPr>
              <w:t>万元</w:t>
            </w:r>
          </w:p>
        </w:tc>
        <w:tc>
          <w:tcPr>
            <w:tcW w:w="1865" w:type="dxa"/>
            <w:vMerge w:val="continue"/>
            <w:tcBorders>
              <w:left w:val="single" w:color="auto" w:sz="4" w:space="0"/>
              <w:bottom w:val="single" w:color="auto" w:sz="4" w:space="0"/>
              <w:right w:val="single" w:color="auto" w:sz="4" w:space="0"/>
            </w:tcBorders>
            <w:noWrap/>
            <w:vAlign w:val="center"/>
          </w:tcPr>
          <w:p w14:paraId="2C112A9D">
            <w:pPr>
              <w:jc w:val="center"/>
              <w:rPr>
                <w:rFonts w:hint="eastAsia" w:ascii="宋体" w:hAnsi="宋体" w:cs="宋体"/>
                <w:color w:val="000000" w:themeColor="text1"/>
                <w:sz w:val="24"/>
                <w:szCs w:val="24"/>
                <w14:textFill>
                  <w14:solidFill>
                    <w14:schemeClr w14:val="tx1"/>
                  </w14:solidFill>
                </w14:textFill>
              </w:rPr>
            </w:pPr>
          </w:p>
        </w:tc>
      </w:tr>
    </w:tbl>
    <w:p w14:paraId="748C71CF">
      <w:pPr>
        <w:ind w:firstLine="480" w:firstLineChars="200"/>
        <w:rPr>
          <w:rFonts w:hint="eastAsia" w:ascii="宋体" w:hAnsi="宋体" w:cs="宋体"/>
          <w:sz w:val="24"/>
          <w:szCs w:val="24"/>
        </w:rPr>
      </w:pPr>
    </w:p>
    <w:p w14:paraId="4AF70B5C">
      <w:pPr>
        <w:ind w:firstLine="480" w:firstLineChars="200"/>
        <w:rPr>
          <w:rFonts w:hint="eastAsia" w:ascii="宋体" w:hAnsi="宋体" w:cs="宋体"/>
          <w:sz w:val="24"/>
          <w:szCs w:val="24"/>
        </w:rPr>
      </w:pPr>
      <w:r>
        <w:rPr>
          <w:rFonts w:hint="eastAsia" w:ascii="宋体" w:hAnsi="宋体" w:cs="宋体"/>
          <w:sz w:val="24"/>
          <w:szCs w:val="24"/>
        </w:rPr>
        <w:t>为满足南京医科大学科研实验需要，拟采购</w:t>
      </w:r>
      <w:r>
        <w:rPr>
          <w:rFonts w:hint="eastAsia" w:ascii="宋体" w:hAnsi="宋体" w:cs="宋体"/>
          <w:color w:val="000000" w:themeColor="text1"/>
          <w:sz w:val="24"/>
          <w:szCs w:val="24"/>
          <w14:textFill>
            <w14:solidFill>
              <w14:schemeClr w14:val="tx1"/>
            </w14:solidFill>
          </w14:textFill>
        </w:rPr>
        <w:t>全自动高速旋光仪、万分之一电子分析天平、触摸屏紫外可见分光光度计等设备，</w:t>
      </w:r>
      <w:r>
        <w:rPr>
          <w:rFonts w:hint="eastAsia" w:ascii="宋体" w:hAnsi="宋体" w:cs="宋体"/>
          <w:sz w:val="24"/>
          <w:szCs w:val="24"/>
        </w:rPr>
        <w:t>具体技术参数见采购文件第三章“项目需求”。</w:t>
      </w:r>
    </w:p>
    <w:p w14:paraId="027B9753">
      <w:pPr>
        <w:ind w:firstLine="480" w:firstLineChars="200"/>
        <w:rPr>
          <w:rFonts w:hint="eastAsia" w:ascii="宋体" w:hAnsi="宋体" w:cs="宋体"/>
          <w:color w:val="auto"/>
          <w:sz w:val="24"/>
          <w:szCs w:val="24"/>
          <w:highlight w:val="none"/>
          <w:lang w:val="zh-CN"/>
        </w:rPr>
      </w:pPr>
      <w:r>
        <w:rPr>
          <w:rFonts w:hint="eastAsia" w:ascii="宋体" w:hAnsi="宋体" w:cs="宋体"/>
          <w:sz w:val="24"/>
          <w:szCs w:val="24"/>
        </w:rPr>
        <w:t>2.2合同履行期限：</w:t>
      </w:r>
      <w:r>
        <w:rPr>
          <w:rFonts w:hint="eastAsia" w:ascii="宋体" w:hAnsi="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p>
    <w:p w14:paraId="5A6908E4">
      <w:pPr>
        <w:ind w:firstLine="480" w:firstLineChars="200"/>
        <w:rPr>
          <w:rFonts w:hint="eastAsia" w:ascii="宋体" w:hAnsi="宋体" w:cs="宋体"/>
          <w:sz w:val="24"/>
          <w:szCs w:val="24"/>
        </w:rPr>
      </w:pPr>
      <w:r>
        <w:rPr>
          <w:rFonts w:hint="eastAsia" w:ascii="宋体" w:hAnsi="宋体" w:cs="宋体"/>
          <w:sz w:val="24"/>
          <w:szCs w:val="24"/>
        </w:rPr>
        <w:t>2.3本项目</w:t>
      </w:r>
      <w:r>
        <w:rPr>
          <w:rFonts w:hint="eastAsia" w:ascii="宋体" w:hAnsi="宋体" w:cs="宋体"/>
          <w:b/>
          <w:bCs/>
          <w:sz w:val="24"/>
          <w:szCs w:val="24"/>
        </w:rPr>
        <w:t>不接受</w:t>
      </w:r>
      <w:r>
        <w:rPr>
          <w:rFonts w:hint="eastAsia" w:ascii="宋体" w:hAnsi="宋体" w:cs="宋体"/>
          <w:sz w:val="24"/>
          <w:szCs w:val="24"/>
        </w:rPr>
        <w:t>联合体投标。</w:t>
      </w:r>
    </w:p>
    <w:p w14:paraId="0A870673">
      <w:pPr>
        <w:spacing w:before="120" w:beforeLines="50" w:after="120" w:afterLines="50"/>
        <w:ind w:firstLine="482" w:firstLineChars="200"/>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sz w:val="24"/>
          <w:szCs w:val="24"/>
        </w:rPr>
        <w:t>申请人的资格要求</w:t>
      </w:r>
    </w:p>
    <w:p w14:paraId="790F184E">
      <w:pPr>
        <w:ind w:firstLine="480" w:firstLineChars="200"/>
        <w:rPr>
          <w:rFonts w:hint="eastAsia" w:ascii="宋体" w:hAnsi="宋体" w:cs="宋体"/>
          <w:sz w:val="24"/>
          <w:szCs w:val="24"/>
        </w:rPr>
      </w:pPr>
      <w:bookmarkStart w:id="9" w:name="_Hlk219318826"/>
      <w:r>
        <w:rPr>
          <w:rFonts w:hint="eastAsia" w:ascii="宋体" w:hAnsi="宋体" w:cs="宋体"/>
          <w:sz w:val="24"/>
          <w:szCs w:val="24"/>
        </w:rPr>
        <w:t xml:space="preserve">3.1满足《中华人民共和国政府采购法》第二十二条规定，提供下列材料： </w:t>
      </w:r>
    </w:p>
    <w:p w14:paraId="532460D2">
      <w:pPr>
        <w:ind w:firstLine="480" w:firstLineChars="200"/>
        <w:rPr>
          <w:rFonts w:hint="eastAsia" w:ascii="宋体" w:hAnsi="宋体" w:cs="宋体"/>
          <w:sz w:val="24"/>
          <w:szCs w:val="24"/>
        </w:rPr>
      </w:pPr>
      <w:r>
        <w:rPr>
          <w:rFonts w:hint="eastAsia" w:ascii="宋体" w:hAnsi="宋体" w:cs="宋体"/>
          <w:sz w:val="24"/>
          <w:szCs w:val="24"/>
        </w:rPr>
        <w:t>（1）具有独立承担民事责任的能力：法人或者其他组织的营业执照（投标人为自然人的提供其身份证），法定代表人和授权代表的身份证。（提供相关证明材料复印件并加盖公章）；</w:t>
      </w:r>
    </w:p>
    <w:p w14:paraId="35A33520">
      <w:pPr>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w:t>
      </w:r>
      <w:r>
        <w:rPr>
          <w:rFonts w:hint="eastAsia" w:ascii="宋体" w:hAnsi="宋体" w:cs="宋体"/>
          <w:b/>
          <w:bCs/>
          <w:sz w:val="24"/>
          <w:szCs w:val="24"/>
        </w:rPr>
        <w:t>2025年度</w:t>
      </w:r>
      <w:r>
        <w:rPr>
          <w:rFonts w:hint="eastAsia" w:ascii="宋体" w:hAnsi="宋体" w:cs="宋体"/>
          <w:sz w:val="24"/>
          <w:szCs w:val="24"/>
        </w:rPr>
        <w:t>审计报告，或招标截止时间前六个月内任一月的财务报告（至少包含资产负债表和利润表），或投标截止时间前三个月内银行出具的资信证明，或财政部门认可的专业担保机构出具的担保函；</w:t>
      </w:r>
    </w:p>
    <w:p w14:paraId="5139E87D">
      <w:pPr>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（3）具有履行合同所必需的设备和专业技术能力（格式详见附件）；</w:t>
      </w:r>
    </w:p>
    <w:p w14:paraId="3598D169">
      <w:pPr>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（4）有依法缴纳税收和社会保障资金的良好记录：提供招标截止时间前六个月内任一月缴纳增值税，或营业税，或企业所得税的凭据；并提供缴纳社会保险的凭据（专用收据，或社会保险缴纳清单等）；</w:t>
      </w:r>
    </w:p>
    <w:p w14:paraId="42A6865B">
      <w:pPr>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（5）参加政府采购活动前三年内，在经营活动中没有重大违法记录（格式详见附件）；</w:t>
      </w:r>
    </w:p>
    <w:p w14:paraId="097D2967">
      <w:pPr>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21AA0DD1">
      <w:pPr>
        <w:ind w:firstLine="480" w:firstLineChars="200"/>
        <w:rPr>
          <w:rFonts w:hint="eastAsia" w:ascii="宋体" w:hAnsi="宋体" w:eastAsia="宋体" w:cs="宋体"/>
          <w:b/>
          <w:bCs/>
          <w:sz w:val="24"/>
          <w:szCs w:val="24"/>
          <w:lang w:val="en-US" w:eastAsia="zh-CN"/>
        </w:rPr>
      </w:pPr>
      <w:r>
        <w:rPr>
          <w:rFonts w:hint="eastAsia" w:ascii="宋体" w:hAnsi="宋体" w:cs="宋体"/>
          <w:sz w:val="24"/>
          <w:szCs w:val="24"/>
        </w:rPr>
        <w:t>3.2本项目的特定资格要求</w:t>
      </w:r>
      <w:r>
        <w:rPr>
          <w:rFonts w:hint="eastAsia" w:ascii="宋体" w:hAnsi="宋体" w:cs="宋体"/>
          <w:b w:val="0"/>
          <w:bCs w:val="0"/>
          <w:sz w:val="24"/>
          <w:szCs w:val="24"/>
        </w:rPr>
        <w:t>：</w:t>
      </w:r>
      <w:r>
        <w:rPr>
          <w:rFonts w:hint="eastAsia" w:ascii="宋体" w:hAnsi="宋体" w:cs="宋体"/>
          <w:b/>
          <w:bCs/>
          <w:sz w:val="24"/>
          <w:szCs w:val="24"/>
          <w:lang w:val="en-US" w:eastAsia="zh-CN"/>
        </w:rPr>
        <w:t>无</w:t>
      </w:r>
    </w:p>
    <w:p w14:paraId="13E0C3A6">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3.3落实政府采购政策需满足的资格要求：</w:t>
      </w:r>
      <w:r>
        <w:rPr>
          <w:rFonts w:hint="eastAsia" w:ascii="宋体" w:hAnsi="宋体" w:cs="宋体"/>
          <w:b/>
          <w:bCs/>
          <w:color w:val="000000" w:themeColor="text1"/>
          <w:sz w:val="24"/>
          <w:szCs w:val="24"/>
          <w14:textFill>
            <w14:solidFill>
              <w14:schemeClr w14:val="tx1"/>
            </w14:solidFill>
          </w14:textFill>
        </w:rPr>
        <w:t>无</w:t>
      </w:r>
    </w:p>
    <w:p w14:paraId="30BE7E0A">
      <w:pPr>
        <w:ind w:firstLine="480" w:firstLineChars="200"/>
        <w:rPr>
          <w:rFonts w:hint="eastAsia" w:ascii="宋体" w:hAnsi="宋体" w:cs="宋体"/>
          <w:sz w:val="24"/>
          <w:szCs w:val="24"/>
        </w:rPr>
      </w:pPr>
      <w:r>
        <w:rPr>
          <w:rFonts w:hint="eastAsia" w:ascii="宋体" w:hAnsi="宋体" w:cs="宋体"/>
          <w:sz w:val="24"/>
          <w:szCs w:val="24"/>
        </w:rPr>
        <w:t>3.4拒绝下述投标人参加本次采购活动：</w:t>
      </w:r>
    </w:p>
    <w:p w14:paraId="16F60B18">
      <w:pPr>
        <w:ind w:firstLine="480" w:firstLineChars="200"/>
        <w:rPr>
          <w:rFonts w:hint="eastAsia" w:ascii="宋体" w:hAnsi="宋体" w:cs="宋体"/>
          <w:sz w:val="24"/>
          <w:szCs w:val="24"/>
        </w:rPr>
      </w:pPr>
      <w:r>
        <w:rPr>
          <w:rFonts w:hint="eastAsia" w:ascii="宋体" w:hAnsi="宋体" w:cs="宋体"/>
          <w:sz w:val="24"/>
          <w:szCs w:val="24"/>
        </w:rPr>
        <w:t>（1）投标人单位负责人为同一人或者存在直接控股、管理关系的不同投标人，不得参加同一合同项下的采购活动。</w:t>
      </w:r>
    </w:p>
    <w:p w14:paraId="781459CD">
      <w:pPr>
        <w:ind w:firstLine="480" w:firstLineChars="200"/>
        <w:rPr>
          <w:rFonts w:hint="eastAsia" w:ascii="宋体" w:hAnsi="宋体" w:cs="宋体"/>
          <w:sz w:val="24"/>
          <w:szCs w:val="24"/>
        </w:rPr>
      </w:pPr>
      <w:r>
        <w:rPr>
          <w:rFonts w:hint="eastAsia" w:ascii="宋体" w:hAnsi="宋体" w:cs="宋体"/>
          <w:sz w:val="24"/>
          <w:szCs w:val="24"/>
        </w:rPr>
        <w:t>（2）凡为采购项目提供整体设计、规范编制或者项目管理、监理、检测等服务的投标人，不得再参加本项目的采购活动。</w:t>
      </w:r>
    </w:p>
    <w:p w14:paraId="3FC6159E">
      <w:pPr>
        <w:ind w:firstLine="480" w:firstLineChars="200"/>
        <w:rPr>
          <w:rFonts w:hint="eastAsia" w:ascii="宋体" w:hAnsi="宋体" w:cs="宋体"/>
          <w:sz w:val="24"/>
          <w:szCs w:val="24"/>
        </w:rPr>
      </w:pPr>
      <w:r>
        <w:rPr>
          <w:rFonts w:hint="eastAsia" w:ascii="宋体" w:hAnsi="宋体" w:cs="宋体"/>
          <w:sz w:val="24"/>
          <w:szCs w:val="24"/>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9"/>
    <w:p w14:paraId="2D3829E3">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四、公告发布媒体</w:t>
      </w:r>
    </w:p>
    <w:p w14:paraId="5EABBAFC">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本项目在“https://www.njmu.edu.cn/ 南京医科大学官方网站”发布</w:t>
      </w:r>
      <w:r>
        <w:rPr>
          <w:rFonts w:hint="eastAsia" w:ascii="宋体" w:hAnsi="宋体" w:cs="宋体"/>
          <w:sz w:val="24"/>
          <w:szCs w:val="24"/>
          <w:lang w:val="zh-CN"/>
        </w:rPr>
        <w:t>公告</w:t>
      </w:r>
      <w:r>
        <w:rPr>
          <w:rFonts w:hint="eastAsia" w:ascii="宋体" w:hAnsi="宋体" w:cs="宋体"/>
          <w:sz w:val="24"/>
          <w:szCs w:val="24"/>
        </w:rPr>
        <w:t>。</w:t>
      </w:r>
    </w:p>
    <w:p w14:paraId="7D31475C">
      <w:pPr>
        <w:numPr>
          <w:ilvl w:val="0"/>
          <w:numId w:val="1"/>
        </w:num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获取招标文件</w:t>
      </w:r>
    </w:p>
    <w:p w14:paraId="668B9140">
      <w:pPr>
        <w:ind w:firstLine="480" w:firstLineChars="200"/>
        <w:rPr>
          <w:rFonts w:hint="eastAsia" w:ascii="宋体" w:hAnsi="宋体" w:cs="宋体"/>
          <w:sz w:val="24"/>
          <w:szCs w:val="24"/>
        </w:rPr>
      </w:pPr>
      <w:r>
        <w:rPr>
          <w:rFonts w:hint="eastAsia" w:ascii="宋体" w:hAnsi="宋体" w:cs="宋体"/>
          <w:bCs/>
          <w:color w:val="000000" w:themeColor="text1"/>
          <w:sz w:val="24"/>
          <w:szCs w:val="24"/>
          <w14:textFill>
            <w14:solidFill>
              <w14:schemeClr w14:val="tx1"/>
            </w14:solidFill>
          </w14:textFill>
        </w:rPr>
        <w:t>5.1</w:t>
      </w:r>
      <w:r>
        <w:rPr>
          <w:rFonts w:ascii="宋体" w:hAnsi="宋体" w:cs="宋体"/>
          <w:bCs/>
          <w:color w:val="000000" w:themeColor="text1"/>
          <w:sz w:val="24"/>
          <w:szCs w:val="24"/>
          <w14:textFill>
            <w14:solidFill>
              <w14:schemeClr w14:val="tx1"/>
            </w14:solidFill>
          </w14:textFill>
        </w:rPr>
        <w:t>时</w:t>
      </w:r>
      <w:r>
        <w:rPr>
          <w:rFonts w:ascii="宋体" w:hAnsi="宋体" w:cs="宋体"/>
          <w:bCs/>
          <w:sz w:val="24"/>
          <w:szCs w:val="24"/>
        </w:rPr>
        <w:t>间</w:t>
      </w:r>
      <w:r>
        <w:rPr>
          <w:rFonts w:ascii="宋体" w:hAnsi="宋体" w:cs="宋体"/>
          <w:bCs/>
          <w:color w:val="auto"/>
          <w:sz w:val="24"/>
          <w:szCs w:val="24"/>
          <w:highlight w:val="none"/>
        </w:rPr>
        <w:t>：202</w:t>
      </w:r>
      <w:r>
        <w:rPr>
          <w:rFonts w:hint="eastAsia" w:ascii="宋体" w:hAnsi="宋体" w:cs="宋体"/>
          <w:bCs/>
          <w:color w:val="auto"/>
          <w:sz w:val="24"/>
          <w:szCs w:val="24"/>
          <w:highlight w:val="none"/>
        </w:rPr>
        <w:t>6</w:t>
      </w:r>
      <w:r>
        <w:rPr>
          <w:rFonts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12</w:t>
      </w:r>
      <w:r>
        <w:rPr>
          <w:rFonts w:ascii="宋体" w:hAnsi="宋体" w:cs="宋体"/>
          <w:bCs/>
          <w:color w:val="auto"/>
          <w:sz w:val="24"/>
          <w:szCs w:val="24"/>
          <w:highlight w:val="none"/>
        </w:rPr>
        <w:t>日至202</w:t>
      </w:r>
      <w:r>
        <w:rPr>
          <w:rFonts w:hint="eastAsia" w:ascii="宋体" w:hAnsi="宋体" w:cs="宋体"/>
          <w:bCs/>
          <w:color w:val="auto"/>
          <w:sz w:val="24"/>
          <w:szCs w:val="24"/>
          <w:highlight w:val="none"/>
        </w:rPr>
        <w:t>6</w:t>
      </w:r>
      <w:r>
        <w:rPr>
          <w:rFonts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18</w:t>
      </w:r>
      <w:r>
        <w:rPr>
          <w:rFonts w:ascii="宋体" w:hAnsi="宋体" w:cs="宋体"/>
          <w:bCs/>
          <w:color w:val="auto"/>
          <w:sz w:val="24"/>
          <w:szCs w:val="24"/>
          <w:highlight w:val="none"/>
        </w:rPr>
        <w:t>日，</w:t>
      </w:r>
      <w:r>
        <w:rPr>
          <w:rFonts w:ascii="宋体" w:hAnsi="宋体" w:cs="宋体"/>
          <w:bCs/>
          <w:sz w:val="24"/>
          <w:szCs w:val="24"/>
        </w:rPr>
        <w:t>每天</w:t>
      </w:r>
      <w:r>
        <w:rPr>
          <w:rFonts w:ascii="宋体" w:hAnsi="宋体" w:cs="宋体"/>
          <w:bCs/>
          <w:color w:val="000000" w:themeColor="text1"/>
          <w:sz w:val="24"/>
          <w:szCs w:val="24"/>
          <w14:textFill>
            <w14:solidFill>
              <w14:schemeClr w14:val="tx1"/>
            </w14:solidFill>
          </w14:textFill>
        </w:rPr>
        <w:t>上午9点00分至11点30分，下午13点30分至17点00分（北京时间，法定节假日除外），若潜</w:t>
      </w:r>
      <w:r>
        <w:rPr>
          <w:rFonts w:hint="eastAsia" w:ascii="宋体" w:hAnsi="宋体" w:cs="宋体"/>
          <w:sz w:val="24"/>
          <w:szCs w:val="24"/>
        </w:rPr>
        <w:t>在投标人未能在上述期限内向采购代理机构购买，则其投标将被拒绝。</w:t>
      </w:r>
    </w:p>
    <w:p w14:paraId="135035C5">
      <w:pPr>
        <w:ind w:firstLine="480" w:firstLineChars="200"/>
        <w:rPr>
          <w:rFonts w:hint="eastAsia" w:ascii="宋体" w:hAnsi="宋体" w:cs="宋体"/>
          <w:sz w:val="24"/>
          <w:szCs w:val="24"/>
        </w:rPr>
      </w:pPr>
      <w:r>
        <w:rPr>
          <w:rFonts w:hint="eastAsia" w:ascii="宋体" w:hAnsi="宋体" w:cs="宋体"/>
          <w:sz w:val="24"/>
          <w:szCs w:val="24"/>
        </w:rPr>
        <w:t>5.2地点：南京市玄武区北京东路22号和平大厦1810室</w:t>
      </w:r>
    </w:p>
    <w:p w14:paraId="072B812A">
      <w:pPr>
        <w:ind w:firstLine="480" w:firstLineChars="200"/>
        <w:rPr>
          <w:rFonts w:hint="eastAsia" w:ascii="宋体" w:hAnsi="宋体" w:cs="宋体"/>
          <w:sz w:val="24"/>
          <w:szCs w:val="24"/>
        </w:rPr>
      </w:pPr>
      <w:r>
        <w:rPr>
          <w:rFonts w:hint="eastAsia" w:ascii="宋体" w:hAnsi="宋体" w:cs="宋体"/>
          <w:sz w:val="24"/>
          <w:szCs w:val="24"/>
        </w:rPr>
        <w:t>5.3方式：以转账、汇款方式购买采购文件，转账、汇款附言：采购代理机构内部编号、采购文件费，并将凭证发送至采购代理机构邮箱，付款完成及按要求发送邮件后，代理机构提供纸质和电子版采购文件。</w:t>
      </w:r>
    </w:p>
    <w:p w14:paraId="2B06DD62">
      <w:pPr>
        <w:ind w:firstLine="480" w:firstLineChars="200"/>
        <w:rPr>
          <w:rFonts w:hint="eastAsia" w:ascii="宋体" w:hAnsi="宋体" w:cs="宋体"/>
          <w:sz w:val="24"/>
          <w:szCs w:val="24"/>
        </w:rPr>
      </w:pPr>
      <w:r>
        <w:rPr>
          <w:rFonts w:hint="eastAsia" w:ascii="宋体" w:hAnsi="宋体" w:cs="宋体"/>
          <w:sz w:val="24"/>
          <w:szCs w:val="24"/>
        </w:rPr>
        <w:t>邮箱地址：jshtzb18@sina.com</w:t>
      </w:r>
    </w:p>
    <w:p w14:paraId="4167CA20">
      <w:pPr>
        <w:ind w:firstLine="480" w:firstLineChars="200"/>
        <w:rPr>
          <w:rFonts w:hint="eastAsia" w:ascii="宋体" w:hAnsi="宋体" w:cs="宋体"/>
          <w:sz w:val="24"/>
          <w:szCs w:val="24"/>
        </w:rPr>
      </w:pPr>
      <w:r>
        <w:rPr>
          <w:rFonts w:hint="eastAsia" w:ascii="宋体" w:hAnsi="宋体" w:cs="宋体"/>
          <w:sz w:val="24"/>
          <w:szCs w:val="24"/>
        </w:rPr>
        <w:t>邮件标题：购买单位名称_采购代理机构内部编号</w:t>
      </w:r>
    </w:p>
    <w:p w14:paraId="45C1F914">
      <w:pPr>
        <w:ind w:firstLine="480" w:firstLineChars="200"/>
        <w:rPr>
          <w:rFonts w:hint="eastAsia" w:ascii="宋体" w:hAnsi="宋体" w:cs="宋体"/>
          <w:sz w:val="24"/>
          <w:szCs w:val="24"/>
        </w:rPr>
      </w:pPr>
      <w:r>
        <w:rPr>
          <w:rFonts w:hint="eastAsia" w:ascii="宋体" w:hAnsi="宋体" w:cs="宋体"/>
          <w:sz w:val="24"/>
          <w:szCs w:val="24"/>
        </w:rPr>
        <w:t>邮件正文：请明确拟购买文件的项目名称、项目编号、采购代理机构内部编号、购买单位名称、联系人和联系方式、开票信息（明确专票、普票）、付款截图（直接贴图在正文，不要采用附件）、邮寄地址等信息。</w:t>
      </w:r>
    </w:p>
    <w:p w14:paraId="3D7D4ABC">
      <w:pPr>
        <w:ind w:firstLine="480" w:firstLineChars="200"/>
        <w:rPr>
          <w:rFonts w:hint="eastAsia" w:ascii="宋体" w:hAnsi="宋体" w:cs="宋体"/>
          <w:sz w:val="24"/>
          <w:szCs w:val="24"/>
        </w:rPr>
      </w:pPr>
      <w:r>
        <w:rPr>
          <w:rFonts w:hint="eastAsia" w:ascii="宋体" w:hAnsi="宋体" w:cs="宋体"/>
          <w:sz w:val="24"/>
          <w:szCs w:val="24"/>
        </w:rPr>
        <w:t>5.4购买招标文件汇款地址：</w:t>
      </w:r>
    </w:p>
    <w:p w14:paraId="0AA8D94E">
      <w:pPr>
        <w:ind w:firstLine="480" w:firstLineChars="200"/>
        <w:rPr>
          <w:rFonts w:hint="eastAsia" w:ascii="宋体" w:hAnsi="宋体" w:cs="宋体"/>
          <w:sz w:val="24"/>
          <w:szCs w:val="24"/>
        </w:rPr>
      </w:pPr>
      <w:r>
        <w:rPr>
          <w:rFonts w:hint="eastAsia" w:ascii="宋体" w:hAnsi="宋体" w:cs="宋体"/>
          <w:sz w:val="24"/>
          <w:szCs w:val="24"/>
        </w:rPr>
        <w:t>（1）开户名：江苏汉唐国际贸易集团有限公司</w:t>
      </w:r>
    </w:p>
    <w:p w14:paraId="0AA531FF">
      <w:pPr>
        <w:ind w:firstLine="480" w:firstLineChars="200"/>
        <w:rPr>
          <w:rFonts w:hint="eastAsia" w:ascii="宋体" w:hAnsi="宋体" w:cs="宋体"/>
          <w:sz w:val="24"/>
          <w:szCs w:val="24"/>
        </w:rPr>
      </w:pPr>
      <w:r>
        <w:rPr>
          <w:rFonts w:hint="eastAsia" w:ascii="宋体" w:hAnsi="宋体" w:cs="宋体"/>
          <w:sz w:val="24"/>
          <w:szCs w:val="24"/>
        </w:rPr>
        <w:t>（2）开户行：上海浦东发展银行南京莫愁支行（行号：310301000153）</w:t>
      </w:r>
    </w:p>
    <w:p w14:paraId="7E7BC100">
      <w:pPr>
        <w:ind w:firstLine="480" w:firstLineChars="200"/>
        <w:rPr>
          <w:rFonts w:hint="eastAsia" w:ascii="宋体" w:hAnsi="宋体" w:cs="宋体"/>
          <w:sz w:val="24"/>
          <w:szCs w:val="24"/>
        </w:rPr>
      </w:pPr>
      <w:r>
        <w:rPr>
          <w:rFonts w:hint="eastAsia" w:ascii="宋体" w:hAnsi="宋体" w:cs="宋体"/>
          <w:sz w:val="24"/>
          <w:szCs w:val="24"/>
        </w:rPr>
        <w:t>（3）账号：93160 15474 000 1152</w:t>
      </w:r>
    </w:p>
    <w:p w14:paraId="6CA81422">
      <w:pPr>
        <w:ind w:firstLine="480" w:firstLineChars="200"/>
        <w:rPr>
          <w:rFonts w:hint="eastAsia" w:ascii="宋体" w:hAnsi="宋体" w:cs="宋体"/>
          <w:sz w:val="24"/>
          <w:szCs w:val="24"/>
        </w:rPr>
      </w:pPr>
      <w:bookmarkStart w:id="10" w:name="_Hlk182862024"/>
      <w:r>
        <w:rPr>
          <w:rFonts w:hint="eastAsia" w:ascii="宋体" w:hAnsi="宋体" w:cs="宋体"/>
          <w:sz w:val="24"/>
          <w:szCs w:val="24"/>
        </w:rPr>
        <w:t>5.5售价：600元/套，售后不退。</w:t>
      </w:r>
    </w:p>
    <w:bookmarkEnd w:id="10"/>
    <w:p w14:paraId="0719555D">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六、投标截止时间及开标信息</w:t>
      </w:r>
    </w:p>
    <w:p w14:paraId="71EC91BF">
      <w:pPr>
        <w:ind w:firstLine="480" w:firstLineChars="200"/>
        <w:rPr>
          <w:rFonts w:hint="eastAsia" w:ascii="宋体" w:hAnsi="宋体" w:cs="宋体"/>
          <w:sz w:val="24"/>
          <w:szCs w:val="24"/>
        </w:rPr>
      </w:pPr>
      <w:r>
        <w:rPr>
          <w:rFonts w:hint="eastAsia" w:ascii="宋体" w:hAnsi="宋体" w:cs="宋体"/>
          <w:sz w:val="24"/>
          <w:szCs w:val="24"/>
        </w:rPr>
        <w:t>6.1投标文件接收截止时间及开标时</w:t>
      </w:r>
      <w:r>
        <w:rPr>
          <w:rFonts w:hint="eastAsia" w:ascii="宋体" w:hAnsi="宋体" w:cs="宋体"/>
          <w:color w:val="auto"/>
          <w:sz w:val="24"/>
          <w:szCs w:val="24"/>
          <w:highlight w:val="none"/>
        </w:rPr>
        <w:t>间：2026年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w:t>
      </w:r>
      <w:r>
        <w:rPr>
          <w:rFonts w:hint="eastAsia" w:ascii="宋体" w:hAnsi="宋体" w:cs="宋体"/>
          <w:sz w:val="24"/>
          <w:szCs w:val="24"/>
          <w:lang w:val="en-US" w:eastAsia="zh-CN"/>
        </w:rPr>
        <w:t>4</w:t>
      </w:r>
      <w:r>
        <w:rPr>
          <w:rFonts w:hint="eastAsia" w:ascii="宋体" w:hAnsi="宋体" w:cs="宋体"/>
          <w:sz w:val="24"/>
          <w:szCs w:val="24"/>
        </w:rPr>
        <w:t>点00分</w:t>
      </w:r>
    </w:p>
    <w:p w14:paraId="1BA038BC">
      <w:pPr>
        <w:ind w:firstLine="480" w:firstLineChars="200"/>
        <w:rPr>
          <w:rFonts w:hint="eastAsia" w:ascii="宋体" w:hAnsi="宋体" w:cs="宋体"/>
          <w:sz w:val="24"/>
          <w:szCs w:val="24"/>
        </w:rPr>
      </w:pPr>
      <w:r>
        <w:rPr>
          <w:rFonts w:hint="eastAsia" w:ascii="宋体" w:hAnsi="宋体" w:cs="宋体"/>
          <w:sz w:val="24"/>
          <w:szCs w:val="24"/>
        </w:rPr>
        <w:t>6.2投标文件接收地点及开标地点：南京市玄武区北京东路22号和平大厦18楼开标室一</w:t>
      </w:r>
    </w:p>
    <w:p w14:paraId="6CAD50F2">
      <w:pPr>
        <w:ind w:firstLine="480" w:firstLineChars="200"/>
        <w:rPr>
          <w:rFonts w:hint="eastAsia" w:ascii="宋体" w:hAnsi="宋体" w:cs="宋体"/>
          <w:sz w:val="24"/>
          <w:szCs w:val="24"/>
        </w:rPr>
      </w:pPr>
      <w:r>
        <w:rPr>
          <w:rFonts w:hint="eastAsia" w:ascii="宋体" w:hAnsi="宋体" w:cs="宋体"/>
          <w:sz w:val="24"/>
          <w:szCs w:val="24"/>
        </w:rPr>
        <w:t>6.3投标文件接收要求：</w:t>
      </w:r>
    </w:p>
    <w:p w14:paraId="50074D26">
      <w:pPr>
        <w:numPr>
          <w:ilvl w:val="0"/>
          <w:numId w:val="2"/>
        </w:numPr>
        <w:ind w:firstLine="482" w:firstLineChars="200"/>
        <w:rPr>
          <w:rFonts w:hint="eastAsia" w:ascii="宋体" w:hAnsi="宋体" w:cs="宋体"/>
          <w:sz w:val="24"/>
          <w:szCs w:val="24"/>
        </w:rPr>
      </w:pPr>
      <w:r>
        <w:rPr>
          <w:rFonts w:hint="eastAsia" w:ascii="宋体" w:hAnsi="宋体" w:cs="宋体"/>
          <w:b/>
          <w:bCs/>
          <w:sz w:val="24"/>
          <w:szCs w:val="24"/>
        </w:rPr>
        <w:t>纸质投标文件一式六份</w:t>
      </w:r>
      <w:r>
        <w:rPr>
          <w:rFonts w:hint="eastAsia" w:ascii="宋体" w:hAnsi="宋体" w:cs="宋体"/>
          <w:sz w:val="24"/>
          <w:szCs w:val="24"/>
        </w:rPr>
        <w:t>，其中正本一份、副本五份，在标书封面标注“正本”、“副本”字样，标书密封并在封口处加盖公章。</w:t>
      </w:r>
    </w:p>
    <w:p w14:paraId="432780BF">
      <w:pPr>
        <w:numPr>
          <w:ilvl w:val="0"/>
          <w:numId w:val="2"/>
        </w:numPr>
        <w:ind w:firstLine="480" w:firstLineChars="200"/>
        <w:rPr>
          <w:rFonts w:hint="eastAsia" w:ascii="宋体" w:hAnsi="宋体" w:cs="宋体"/>
          <w:sz w:val="24"/>
          <w:szCs w:val="24"/>
        </w:rPr>
      </w:pPr>
      <w:r>
        <w:rPr>
          <w:rFonts w:hint="eastAsia" w:ascii="宋体" w:hAnsi="宋体" w:cs="宋体"/>
          <w:sz w:val="24"/>
          <w:szCs w:val="24"/>
        </w:rPr>
        <w:t>电子版U盘1份（须包含投标文件word格式和pdf格式，pdf格式须加盖公司公章）。</w:t>
      </w:r>
    </w:p>
    <w:p w14:paraId="5D830656">
      <w:pPr>
        <w:numPr>
          <w:ilvl w:val="0"/>
          <w:numId w:val="2"/>
        </w:numPr>
        <w:ind w:firstLine="480" w:firstLineChars="200"/>
        <w:rPr>
          <w:rFonts w:hint="eastAsia" w:ascii="宋体" w:hAnsi="宋体" w:cs="宋体"/>
          <w:sz w:val="24"/>
          <w:szCs w:val="24"/>
        </w:rPr>
      </w:pPr>
      <w:r>
        <w:rPr>
          <w:rFonts w:hint="eastAsia" w:ascii="宋体" w:hAnsi="宋体" w:cs="宋体"/>
          <w:sz w:val="24"/>
          <w:szCs w:val="24"/>
        </w:rPr>
        <w:t>开标一览表必须加盖投标人公章（复印件无效），且需单独密封在信封中，在投标截止时间前与投标文件分别递交，否则视为无效投标。如有分包，投标人投标任何一个分包，都需单独填写开标一览表。</w:t>
      </w:r>
    </w:p>
    <w:p w14:paraId="0697011D">
      <w:pPr>
        <w:numPr>
          <w:ilvl w:val="0"/>
          <w:numId w:val="2"/>
        </w:numPr>
        <w:ind w:firstLine="480" w:firstLineChars="200"/>
        <w:rPr>
          <w:rFonts w:hint="eastAsia" w:ascii="宋体" w:hAnsi="宋体" w:cs="宋体"/>
          <w:sz w:val="24"/>
          <w:szCs w:val="24"/>
        </w:rPr>
      </w:pPr>
      <w:r>
        <w:rPr>
          <w:rFonts w:hint="eastAsia" w:ascii="宋体" w:hAnsi="宋体" w:cs="宋体"/>
          <w:sz w:val="24"/>
          <w:szCs w:val="24"/>
        </w:rPr>
        <w:t>逾期送达及未按要求密封的投标文件，采购人和采购代理机构不予接收。</w:t>
      </w:r>
    </w:p>
    <w:p w14:paraId="6A127047">
      <w:pPr>
        <w:ind w:firstLine="480" w:firstLineChars="200"/>
        <w:rPr>
          <w:rFonts w:hint="eastAsia" w:ascii="宋体" w:hAnsi="宋体" w:cs="宋体"/>
          <w:sz w:val="24"/>
          <w:szCs w:val="24"/>
        </w:rPr>
      </w:pPr>
      <w:r>
        <w:rPr>
          <w:rFonts w:hint="eastAsia" w:ascii="宋体" w:hAnsi="宋体" w:cs="宋体"/>
          <w:sz w:val="24"/>
          <w:szCs w:val="24"/>
        </w:rPr>
        <w:t>6.4需要现场说明或者澄清的问题，投标商代表未到场确认的，后果自负。</w:t>
      </w:r>
    </w:p>
    <w:p w14:paraId="606A3D37">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六、投标保证金</w:t>
      </w:r>
    </w:p>
    <w:p w14:paraId="66BB569F">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本次招标项目</w:t>
      </w:r>
      <w:r>
        <w:rPr>
          <w:rFonts w:hint="eastAsia" w:ascii="宋体" w:hAnsi="宋体" w:cs="宋体"/>
          <w:b/>
          <w:bCs/>
          <w:sz w:val="24"/>
          <w:szCs w:val="24"/>
        </w:rPr>
        <w:t>不收取</w:t>
      </w:r>
      <w:r>
        <w:rPr>
          <w:rFonts w:hint="eastAsia" w:ascii="宋体" w:hAnsi="宋体" w:cs="宋体"/>
          <w:sz w:val="24"/>
          <w:szCs w:val="24"/>
        </w:rPr>
        <w:t>投标保证金。</w:t>
      </w:r>
    </w:p>
    <w:p w14:paraId="3BF70454">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w:t>
      </w:r>
      <w:bookmarkStart w:id="11" w:name="_Toc211033425"/>
      <w:bookmarkStart w:id="12" w:name="_Toc214612912"/>
      <w:r>
        <w:rPr>
          <w:rFonts w:hint="eastAsia" w:ascii="宋体" w:hAnsi="宋体" w:cs="宋体"/>
          <w:b/>
          <w:color w:val="000000" w:themeColor="text1"/>
          <w:sz w:val="24"/>
          <w:szCs w:val="24"/>
          <w14:textFill>
            <w14:solidFill>
              <w14:schemeClr w14:val="tx1"/>
            </w14:solidFill>
          </w14:textFill>
        </w:rPr>
        <w:t>公告期限</w:t>
      </w:r>
      <w:bookmarkEnd w:id="11"/>
      <w:bookmarkEnd w:id="12"/>
    </w:p>
    <w:p w14:paraId="0E6DD9F1">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自招标公告发布之日起5个工作日</w:t>
      </w:r>
    </w:p>
    <w:p w14:paraId="274EBAB5">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bookmarkStart w:id="13" w:name="_Toc214612913"/>
      <w:bookmarkStart w:id="14" w:name="_Toc116802036"/>
      <w:r>
        <w:rPr>
          <w:rFonts w:hint="eastAsia" w:ascii="宋体" w:hAnsi="宋体" w:cs="宋体"/>
          <w:b/>
          <w:color w:val="000000" w:themeColor="text1"/>
          <w:sz w:val="24"/>
          <w:szCs w:val="24"/>
          <w14:textFill>
            <w14:solidFill>
              <w14:schemeClr w14:val="tx1"/>
            </w14:solidFill>
          </w14:textFill>
        </w:rPr>
        <w:t>八、其他补充事宜</w:t>
      </w:r>
      <w:bookmarkEnd w:id="13"/>
      <w:bookmarkEnd w:id="14"/>
    </w:p>
    <w:p w14:paraId="125D8886">
      <w:pPr>
        <w:ind w:firstLine="480" w:firstLineChars="200"/>
        <w:rPr>
          <w:rFonts w:hint="eastAsia" w:ascii="宋体" w:hAnsi="宋体" w:cs="宋体"/>
          <w:sz w:val="24"/>
          <w:szCs w:val="24"/>
        </w:rPr>
      </w:pPr>
      <w:r>
        <w:rPr>
          <w:rFonts w:hint="eastAsia" w:ascii="宋体" w:hAnsi="宋体" w:cs="宋体"/>
          <w:sz w:val="24"/>
          <w:szCs w:val="24"/>
        </w:rPr>
        <w:t>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政策文件。</w:t>
      </w:r>
    </w:p>
    <w:p w14:paraId="294B3D32">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九、项目联系信息</w:t>
      </w:r>
    </w:p>
    <w:p w14:paraId="467769B3">
      <w:pPr>
        <w:ind w:firstLine="480" w:firstLineChars="200"/>
        <w:rPr>
          <w:rFonts w:hint="eastAsia" w:ascii="宋体" w:hAnsi="宋体" w:cs="宋体"/>
          <w:sz w:val="24"/>
          <w:szCs w:val="24"/>
        </w:rPr>
      </w:pPr>
      <w:r>
        <w:rPr>
          <w:rFonts w:hint="eastAsia" w:ascii="宋体" w:hAnsi="宋体" w:cs="宋体"/>
          <w:sz w:val="24"/>
          <w:szCs w:val="24"/>
        </w:rPr>
        <w:t>采购人信息</w:t>
      </w:r>
    </w:p>
    <w:p w14:paraId="6E1EDD41">
      <w:pPr>
        <w:ind w:firstLine="480" w:firstLineChars="200"/>
        <w:rPr>
          <w:rFonts w:hint="eastAsia" w:ascii="宋体" w:hAnsi="宋体" w:cs="宋体"/>
          <w:sz w:val="24"/>
          <w:szCs w:val="24"/>
        </w:rPr>
      </w:pPr>
      <w:r>
        <w:rPr>
          <w:rFonts w:hint="eastAsia" w:ascii="宋体" w:hAnsi="宋体" w:cs="宋体"/>
          <w:sz w:val="24"/>
          <w:szCs w:val="24"/>
        </w:rPr>
        <w:t>名称：南京医科大学</w:t>
      </w:r>
    </w:p>
    <w:p w14:paraId="311AEFAA">
      <w:pPr>
        <w:ind w:firstLine="480" w:firstLineChars="200"/>
        <w:rPr>
          <w:rFonts w:hint="eastAsia" w:ascii="宋体" w:hAnsi="宋体" w:cs="宋体"/>
          <w:sz w:val="24"/>
          <w:szCs w:val="24"/>
        </w:rPr>
      </w:pPr>
      <w:r>
        <w:rPr>
          <w:rFonts w:hint="eastAsia" w:ascii="宋体" w:hAnsi="宋体" w:cs="宋体"/>
          <w:sz w:val="24"/>
          <w:szCs w:val="24"/>
        </w:rPr>
        <w:t>地址：</w:t>
      </w:r>
      <w:bookmarkStart w:id="15" w:name="_Hlk153870315"/>
      <w:r>
        <w:rPr>
          <w:rFonts w:hint="eastAsia" w:ascii="宋体" w:hAnsi="宋体" w:cs="宋体"/>
          <w:sz w:val="24"/>
          <w:szCs w:val="24"/>
        </w:rPr>
        <w:t>南京市江宁区龙眠大道101号</w:t>
      </w:r>
      <w:bookmarkEnd w:id="15"/>
    </w:p>
    <w:p w14:paraId="716919B5">
      <w:pPr>
        <w:ind w:firstLine="480" w:firstLineChars="20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马</w:t>
      </w:r>
      <w:r>
        <w:rPr>
          <w:rFonts w:hint="eastAsia" w:ascii="宋体" w:hAnsi="宋体" w:cs="宋体"/>
          <w:sz w:val="24"/>
          <w:szCs w:val="24"/>
        </w:rPr>
        <w:t>老师</w:t>
      </w:r>
    </w:p>
    <w:p w14:paraId="680C237F">
      <w:pPr>
        <w:ind w:firstLine="480" w:firstLineChars="200"/>
        <w:rPr>
          <w:rFonts w:hint="eastAsia" w:ascii="宋体" w:hAnsi="宋体" w:cs="宋体"/>
          <w:sz w:val="24"/>
          <w:szCs w:val="24"/>
          <w:highlight w:val="none"/>
        </w:rPr>
      </w:pPr>
      <w:r>
        <w:rPr>
          <w:rFonts w:hint="eastAsia" w:ascii="宋体" w:hAnsi="宋体" w:cs="宋体"/>
          <w:sz w:val="24"/>
          <w:szCs w:val="24"/>
        </w:rPr>
        <w:t>联系方式</w:t>
      </w:r>
      <w:r>
        <w:rPr>
          <w:rFonts w:hint="eastAsia" w:ascii="宋体" w:hAnsi="宋体" w:cs="宋体"/>
          <w:sz w:val="24"/>
          <w:szCs w:val="24"/>
          <w:highlight w:val="none"/>
        </w:rPr>
        <w:t>：025-86868572</w:t>
      </w:r>
    </w:p>
    <w:p w14:paraId="34BAAAF6">
      <w:pPr>
        <w:ind w:firstLine="480" w:firstLineChars="200"/>
        <w:rPr>
          <w:rFonts w:hint="eastAsia" w:ascii="宋体" w:hAnsi="宋体" w:cs="宋体"/>
          <w:sz w:val="24"/>
          <w:szCs w:val="24"/>
        </w:rPr>
      </w:pPr>
      <w:r>
        <w:rPr>
          <w:rFonts w:hint="eastAsia" w:ascii="宋体" w:hAnsi="宋体" w:cs="宋体"/>
          <w:sz w:val="24"/>
          <w:szCs w:val="24"/>
        </w:rPr>
        <w:t>2.采购代理机构信息</w:t>
      </w:r>
    </w:p>
    <w:p w14:paraId="783D6173">
      <w:pPr>
        <w:ind w:firstLine="480" w:firstLineChars="200"/>
        <w:rPr>
          <w:rFonts w:hint="eastAsia" w:ascii="宋体" w:hAnsi="宋体" w:cs="宋体"/>
          <w:sz w:val="24"/>
          <w:szCs w:val="24"/>
        </w:rPr>
      </w:pPr>
      <w:r>
        <w:rPr>
          <w:rFonts w:hint="eastAsia" w:ascii="宋体" w:hAnsi="宋体" w:cs="宋体"/>
          <w:sz w:val="24"/>
          <w:szCs w:val="24"/>
        </w:rPr>
        <w:t>名称：江苏汉唐国际贸易集团有限公司</w:t>
      </w:r>
    </w:p>
    <w:p w14:paraId="65D080EC">
      <w:pPr>
        <w:ind w:firstLine="480" w:firstLineChars="200"/>
        <w:rPr>
          <w:rFonts w:hint="eastAsia" w:ascii="宋体" w:hAnsi="宋体" w:cs="宋体"/>
          <w:sz w:val="24"/>
          <w:szCs w:val="24"/>
        </w:rPr>
      </w:pPr>
      <w:r>
        <w:rPr>
          <w:rFonts w:hint="eastAsia" w:ascii="宋体" w:hAnsi="宋体" w:cs="宋体"/>
          <w:sz w:val="24"/>
          <w:szCs w:val="24"/>
        </w:rPr>
        <w:t>地址：南京市玄武区北京东路22号和平大厦1810室</w:t>
      </w:r>
    </w:p>
    <w:p w14:paraId="0AEEB93A">
      <w:pPr>
        <w:ind w:firstLine="480" w:firstLineChars="200"/>
        <w:rPr>
          <w:rFonts w:hint="eastAsia" w:ascii="宋体" w:hAnsi="宋体" w:cs="宋体"/>
          <w:sz w:val="24"/>
          <w:szCs w:val="24"/>
        </w:rPr>
      </w:pPr>
      <w:r>
        <w:rPr>
          <w:rFonts w:hint="eastAsia" w:ascii="宋体" w:hAnsi="宋体" w:cs="宋体"/>
          <w:sz w:val="24"/>
          <w:szCs w:val="24"/>
        </w:rPr>
        <w:t>联系方式：025-86975797</w:t>
      </w:r>
    </w:p>
    <w:p w14:paraId="0344913C">
      <w:pPr>
        <w:ind w:firstLine="480" w:firstLineChars="200"/>
        <w:rPr>
          <w:rFonts w:hint="eastAsia" w:ascii="宋体" w:hAnsi="宋体" w:cs="宋体"/>
          <w:sz w:val="24"/>
          <w:szCs w:val="24"/>
        </w:rPr>
      </w:pPr>
      <w:r>
        <w:rPr>
          <w:rFonts w:hint="eastAsia" w:ascii="宋体" w:hAnsi="宋体" w:cs="宋体"/>
          <w:sz w:val="24"/>
          <w:szCs w:val="24"/>
        </w:rPr>
        <w:t>联系人：苍盛、王梦珂、徐琳、唐虹</w:t>
      </w:r>
    </w:p>
    <w:p w14:paraId="78844FE2">
      <w:pPr>
        <w:ind w:firstLine="480" w:firstLineChars="200"/>
        <w:rPr>
          <w:rFonts w:hint="eastAsia" w:ascii="宋体" w:hAnsi="宋体" w:cs="宋体"/>
          <w:sz w:val="24"/>
          <w:szCs w:val="24"/>
        </w:rPr>
      </w:pPr>
      <w:r>
        <w:rPr>
          <w:rFonts w:hint="eastAsia" w:ascii="宋体" w:hAnsi="宋体" w:cs="宋体"/>
          <w:sz w:val="24"/>
          <w:szCs w:val="24"/>
        </w:rPr>
        <w:t>邮箱：jshtzb18@sina.com</w:t>
      </w:r>
    </w:p>
    <w:p w14:paraId="06F98DF0">
      <w:pPr>
        <w:ind w:firstLine="480" w:firstLineChars="200"/>
        <w:rPr>
          <w:rFonts w:hint="eastAsia" w:ascii="宋体" w:hAnsi="宋体" w:cs="宋体"/>
          <w:sz w:val="24"/>
          <w:szCs w:val="24"/>
        </w:rPr>
      </w:pPr>
      <w:r>
        <w:rPr>
          <w:rFonts w:hint="eastAsia" w:ascii="宋体" w:hAnsi="宋体" w:cs="宋体"/>
          <w:sz w:val="24"/>
          <w:szCs w:val="24"/>
        </w:rPr>
        <w:t>3.项目联系方式</w:t>
      </w:r>
    </w:p>
    <w:p w14:paraId="2EC6EBE8">
      <w:pPr>
        <w:ind w:firstLine="480" w:firstLineChars="200"/>
        <w:rPr>
          <w:rFonts w:hint="eastAsia" w:ascii="宋体" w:hAnsi="宋体" w:cs="宋体"/>
          <w:sz w:val="24"/>
          <w:szCs w:val="24"/>
        </w:rPr>
      </w:pPr>
      <w:r>
        <w:rPr>
          <w:rFonts w:hint="eastAsia" w:ascii="宋体" w:hAnsi="宋体" w:cs="宋体"/>
          <w:sz w:val="24"/>
          <w:szCs w:val="24"/>
        </w:rPr>
        <w:t>项目联系人：苍盛、王梦珂、徐琳、唐虹</w:t>
      </w:r>
    </w:p>
    <w:p w14:paraId="2054F435">
      <w:pPr>
        <w:ind w:firstLine="480" w:firstLineChars="200"/>
        <w:rPr>
          <w:rFonts w:hint="eastAsia" w:ascii="宋体" w:hAnsi="宋体" w:cs="宋体"/>
          <w:sz w:val="24"/>
          <w:szCs w:val="24"/>
        </w:rPr>
      </w:pPr>
      <w:r>
        <w:rPr>
          <w:rFonts w:hint="eastAsia" w:ascii="宋体" w:hAnsi="宋体" w:cs="宋体"/>
          <w:sz w:val="24"/>
          <w:szCs w:val="24"/>
        </w:rPr>
        <w:t>电话：025-86975797</w:t>
      </w:r>
    </w:p>
    <w:p w14:paraId="2CC7205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2A7F9"/>
    <w:multiLevelType w:val="singleLevel"/>
    <w:tmpl w:val="C962A7F9"/>
    <w:lvl w:ilvl="0" w:tentative="0">
      <w:start w:val="1"/>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68"/>
    <w:rsid w:val="004D0E0E"/>
    <w:rsid w:val="00584568"/>
    <w:rsid w:val="00763EF8"/>
    <w:rsid w:val="009F7A25"/>
    <w:rsid w:val="00BF3BD5"/>
    <w:rsid w:val="00D540B5"/>
    <w:rsid w:val="2B0C182B"/>
    <w:rsid w:val="54F6254E"/>
    <w:rsid w:val="5F6B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360" w:lineRule="auto"/>
    </w:pPr>
    <w:rPr>
      <w:rFonts w:ascii="Tahoma" w:hAnsi="Tahoma" w:eastAsia="宋体" w:cstheme="minorBidi"/>
      <w:kern w:val="0"/>
      <w:sz w:val="22"/>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pacing w:line="240" w:lineRule="auto"/>
    </w:pPr>
    <w:rPr>
      <w:sz w:val="18"/>
      <w:szCs w:val="18"/>
    </w:rPr>
  </w:style>
  <w:style w:type="paragraph" w:styleId="12">
    <w:name w:val="header"/>
    <w:basedOn w:val="1"/>
    <w:link w:val="35"/>
    <w:unhideWhenUsed/>
    <w:qFormat/>
    <w:uiPriority w:val="99"/>
    <w:pPr>
      <w:tabs>
        <w:tab w:val="center" w:pos="4153"/>
        <w:tab w:val="right" w:pos="8306"/>
      </w:tabs>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2269</Words>
  <Characters>2565</Characters>
  <Lines>18</Lines>
  <Paragraphs>5</Paragraphs>
  <TotalTime>0</TotalTime>
  <ScaleCrop>false</ScaleCrop>
  <LinksUpToDate>false</LinksUpToDate>
  <CharactersWithSpaces>2573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2026-05-20T08:21:00Z</dcterms:created>
  <dc:creator>tao yang</dc:creator>
  <cp:lastModifiedBy>苍盛</cp:lastModifiedBy>
  <dcterms:modified xsi:type="dcterms:W3CDTF">2026-06-11T07:50:33Z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eyJoZGlkIjoiNmMxOTFjNTVkNmFjMGE3YmUyMWIzZDVhZGVmNGUyZDQiLCJ1c2VySWQiOiI1ODkxNjMwMTYifQ==</vt:lpwstr>
  </property>
  <property fmtid="{D5CDD505-2E9C-101B-9397-08002B2CF9AE}" pid="3" name="KSOProductBuildVer">
    <vt:lpwstr>2052-12.1.0.24034</vt:lpwstr>
  </property>
  <property fmtid="{D5CDD505-2E9C-101B-9397-08002B2CF9AE}" pid="4" name="ICV">
    <vt:lpwstr>5FB3478DA86F4D8CAB2CC5207D1D214F_12</vt:lpwstr>
  </property>
</Properties>
</file>