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南京医科大学研究生院通识课程资源项目更正公告</w:t>
      </w:r>
    </w:p>
    <w:p>
      <w:pPr>
        <w:pStyle w:val="2"/>
      </w:pP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项目基本情况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项目名称：南京医科大学研究生院通识课程资源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项目编号：NJMUZB2242023077</w:t>
      </w:r>
      <w:bookmarkStart w:id="0" w:name="_GoBack"/>
      <w:bookmarkEnd w:id="0"/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更正信息如下：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更正事项：评标标准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更正内容：项目实施方案</w:t>
      </w:r>
    </w:p>
    <w:p>
      <w:pPr>
        <w:spacing w:before="156" w:beforeLines="50" w:after="156" w:afterLines="50"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="宋体" w:hAnsi="宋体" w:eastAsia="宋体" w:cs="宋体"/>
          <w:sz w:val="24"/>
        </w:rPr>
        <w:t>原：项目实施方案分值为25分</w:t>
      </w:r>
      <w:r>
        <w:rPr>
          <w:rFonts w:hint="eastAsia" w:asciiTheme="minorEastAsia" w:hAnsiTheme="minorEastAsia"/>
          <w:sz w:val="24"/>
        </w:rPr>
        <w:t xml:space="preserve">   </w:t>
      </w:r>
    </w:p>
    <w:tbl>
      <w:tblPr>
        <w:tblStyle w:val="7"/>
        <w:tblW w:w="98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9"/>
        <w:gridCol w:w="1246"/>
        <w:gridCol w:w="799"/>
        <w:gridCol w:w="70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ordWrap w:val="0"/>
              <w:spacing w:line="378" w:lineRule="exact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序号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ordWrap w:val="0"/>
              <w:spacing w:line="378" w:lineRule="exact"/>
            </w:pPr>
            <w:r>
              <w:rPr>
                <w:rFonts w:ascii="宋体" w:hAnsi="宋体" w:eastAsia="宋体" w:cs="宋体"/>
                <w:b/>
                <w:color w:val="000000"/>
              </w:rPr>
              <w:t>评分因素</w:t>
            </w: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ordWrap w:val="0"/>
              <w:spacing w:line="378" w:lineRule="exact"/>
            </w:pPr>
            <w:r>
              <w:rPr>
                <w:rFonts w:ascii="宋体" w:hAnsi="宋体" w:eastAsia="宋体" w:cs="宋体"/>
                <w:b/>
                <w:color w:val="000000"/>
              </w:rPr>
              <w:t>分值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ordWrap w:val="0"/>
              <w:spacing w:line="378" w:lineRule="exact"/>
            </w:pPr>
            <w:r>
              <w:rPr>
                <w:rFonts w:ascii="宋体" w:hAnsi="宋体" w:eastAsia="宋体" w:cs="宋体"/>
                <w:b/>
                <w:color w:val="000000"/>
              </w:rPr>
              <w:t>评分标准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1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ordWrap w:val="0"/>
              <w:spacing w:line="378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ordWrap w:val="0"/>
              <w:spacing w:line="378" w:lineRule="exac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</w:rPr>
              <w:t>项目实施方案</w:t>
            </w: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ordWrap w:val="0"/>
            </w:pPr>
            <w:r>
              <w:rPr>
                <w:rFonts w:hint="eastAsia"/>
              </w:rPr>
              <w:t>25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ordWrap w:val="0"/>
              <w:spacing w:line="378" w:lineRule="exact"/>
            </w:pPr>
            <w:r>
              <w:rPr>
                <w:rFonts w:ascii="宋体" w:hAnsi="宋体" w:eastAsia="宋体" w:cs="宋体"/>
                <w:color w:val="000000"/>
              </w:rPr>
              <w:t>根据投标人对本项目实施的质量保证措施、施工组织部署、技术方案、人员配置、时间进度安排及验收方案的合理性、科学性等进行比较评分。</w:t>
            </w:r>
          </w:p>
          <w:p>
            <w:pPr>
              <w:wordWrap w:val="0"/>
              <w:spacing w:line="378" w:lineRule="exact"/>
            </w:pPr>
            <w:r>
              <w:rPr>
                <w:rFonts w:ascii="宋体" w:hAnsi="宋体" w:eastAsia="宋体" w:cs="宋体"/>
                <w:color w:val="000000"/>
              </w:rPr>
              <w:t>优秀的得</w:t>
            </w:r>
            <w:r>
              <w:rPr>
                <w:rFonts w:hint="eastAsia" w:ascii="宋体" w:hAnsi="宋体" w:eastAsia="宋体" w:cs="宋体"/>
                <w:color w:val="000000"/>
              </w:rPr>
              <w:t>25</w:t>
            </w:r>
            <w:r>
              <w:rPr>
                <w:rFonts w:ascii="宋体" w:hAnsi="宋体" w:eastAsia="宋体" w:cs="宋体"/>
                <w:color w:val="000000"/>
              </w:rPr>
              <w:t>分；良好得</w:t>
            </w:r>
            <w:r>
              <w:rPr>
                <w:rFonts w:hint="eastAsia" w:ascii="宋体" w:hAnsi="宋体" w:eastAsia="宋体" w:cs="宋体"/>
                <w:color w:val="000000"/>
              </w:rPr>
              <w:t>15</w:t>
            </w:r>
            <w:r>
              <w:rPr>
                <w:rFonts w:ascii="宋体" w:hAnsi="宋体" w:eastAsia="宋体" w:cs="宋体"/>
                <w:color w:val="000000"/>
              </w:rPr>
              <w:t>分；一般得</w:t>
            </w:r>
            <w:r>
              <w:rPr>
                <w:rFonts w:hint="eastAsia" w:ascii="宋体" w:hAnsi="宋体" w:eastAsia="宋体" w:cs="宋体"/>
                <w:color w:val="000000"/>
              </w:rPr>
              <w:t>10</w:t>
            </w:r>
            <w:r>
              <w:rPr>
                <w:rFonts w:ascii="宋体" w:hAnsi="宋体" w:eastAsia="宋体" w:cs="宋体"/>
                <w:color w:val="000000"/>
              </w:rPr>
              <w:t>分。不提供相关内容不得分。</w:t>
            </w:r>
          </w:p>
        </w:tc>
      </w:tr>
    </w:tbl>
    <w:p>
      <w:pPr>
        <w:spacing w:line="560" w:lineRule="exac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现更正为：</w:t>
      </w:r>
      <w:r>
        <w:rPr>
          <w:rFonts w:hint="eastAsia" w:ascii="宋体" w:hAnsi="宋体" w:eastAsia="宋体" w:cs="宋体"/>
          <w:sz w:val="24"/>
        </w:rPr>
        <w:t>项目实施方案分值为20分</w:t>
      </w:r>
    </w:p>
    <w:p>
      <w:pPr>
        <w:pStyle w:val="2"/>
      </w:pPr>
    </w:p>
    <w:tbl>
      <w:tblPr>
        <w:tblStyle w:val="7"/>
        <w:tblW w:w="101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1"/>
        <w:gridCol w:w="1350"/>
        <w:gridCol w:w="853"/>
        <w:gridCol w:w="70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atLeast"/>
          <w:jc w:val="center"/>
        </w:trPr>
        <w:tc>
          <w:tcPr>
            <w:tcW w:w="881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ordWrap w:val="0"/>
              <w:spacing w:line="378" w:lineRule="exact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序号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ordWrap w:val="0"/>
              <w:spacing w:line="378" w:lineRule="exact"/>
            </w:pPr>
            <w:r>
              <w:rPr>
                <w:rFonts w:ascii="宋体" w:hAnsi="宋体" w:eastAsia="宋体" w:cs="宋体"/>
                <w:b/>
                <w:color w:val="000000"/>
              </w:rPr>
              <w:t>评分因素</w:t>
            </w:r>
          </w:p>
        </w:tc>
        <w:tc>
          <w:tcPr>
            <w:tcW w:w="853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ordWrap w:val="0"/>
              <w:spacing w:line="378" w:lineRule="exact"/>
            </w:pPr>
            <w:r>
              <w:rPr>
                <w:rFonts w:ascii="宋体" w:hAnsi="宋体" w:eastAsia="宋体" w:cs="宋体"/>
                <w:b/>
                <w:color w:val="000000"/>
              </w:rPr>
              <w:t>分值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ordWrap w:val="0"/>
              <w:spacing w:line="378" w:lineRule="exact"/>
            </w:pPr>
            <w:r>
              <w:rPr>
                <w:rFonts w:ascii="宋体" w:hAnsi="宋体" w:eastAsia="宋体" w:cs="宋体"/>
                <w:b/>
                <w:color w:val="000000"/>
              </w:rPr>
              <w:t>评分标准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1" w:hRule="atLeast"/>
          <w:jc w:val="center"/>
        </w:trPr>
        <w:tc>
          <w:tcPr>
            <w:tcW w:w="881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ordWrap w:val="0"/>
              <w:spacing w:line="378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ordWrap w:val="0"/>
              <w:spacing w:line="378" w:lineRule="exac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</w:rPr>
              <w:t>项目实施方案</w:t>
            </w:r>
          </w:p>
        </w:tc>
        <w:tc>
          <w:tcPr>
            <w:tcW w:w="853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ordWrap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ordWrap w:val="0"/>
              <w:spacing w:line="378" w:lineRule="exact"/>
            </w:pPr>
            <w:r>
              <w:rPr>
                <w:rFonts w:ascii="宋体" w:hAnsi="宋体" w:eastAsia="宋体" w:cs="宋体"/>
                <w:color w:val="000000"/>
              </w:rPr>
              <w:t>根据投标人对本项目实施的质量保证措施、施工组织部署、技术方案、人员配置、时间进度安排及验收方案的合理性、科学性等进行比较评分。</w:t>
            </w:r>
          </w:p>
          <w:p>
            <w:pPr>
              <w:wordWrap w:val="0"/>
              <w:spacing w:line="378" w:lineRule="exact"/>
            </w:pPr>
            <w:r>
              <w:rPr>
                <w:rFonts w:ascii="宋体" w:hAnsi="宋体" w:eastAsia="宋体" w:cs="宋体"/>
                <w:color w:val="000000"/>
              </w:rPr>
              <w:t>优秀的得</w:t>
            </w:r>
            <w:r>
              <w:rPr>
                <w:rFonts w:hint="eastAsia" w:ascii="宋体" w:hAnsi="宋体" w:eastAsia="宋体" w:cs="宋体"/>
                <w:color w:val="000000"/>
              </w:rPr>
              <w:t>20</w:t>
            </w:r>
            <w:r>
              <w:rPr>
                <w:rFonts w:ascii="宋体" w:hAnsi="宋体" w:eastAsia="宋体" w:cs="宋体"/>
                <w:color w:val="000000"/>
              </w:rPr>
              <w:t>分；良好得</w:t>
            </w:r>
            <w:r>
              <w:rPr>
                <w:rFonts w:hint="eastAsia" w:ascii="宋体" w:hAnsi="宋体" w:eastAsia="宋体" w:cs="宋体"/>
                <w:color w:val="000000"/>
              </w:rPr>
              <w:t>15</w:t>
            </w:r>
            <w:r>
              <w:rPr>
                <w:rFonts w:ascii="宋体" w:hAnsi="宋体" w:eastAsia="宋体" w:cs="宋体"/>
                <w:color w:val="000000"/>
              </w:rPr>
              <w:t>分；一般得</w:t>
            </w:r>
            <w:r>
              <w:rPr>
                <w:rFonts w:hint="eastAsia" w:ascii="宋体" w:hAnsi="宋体" w:eastAsia="宋体" w:cs="宋体"/>
                <w:color w:val="000000"/>
              </w:rPr>
              <w:t>10</w:t>
            </w:r>
            <w:r>
              <w:rPr>
                <w:rFonts w:ascii="宋体" w:hAnsi="宋体" w:eastAsia="宋体" w:cs="宋体"/>
                <w:color w:val="000000"/>
              </w:rPr>
              <w:t>分。不提供相关内容不得分。</w:t>
            </w:r>
          </w:p>
        </w:tc>
      </w:tr>
    </w:tbl>
    <w:p>
      <w:pPr>
        <w:pStyle w:val="5"/>
        <w:ind w:left="0" w:leftChars="0"/>
      </w:pP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color w:val="333333"/>
          <w:sz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</w:rPr>
        <w:t>其他补充事宜：本项目顺延提交投标文件的截止时间及开标时间为：2023年12 月2</w:t>
      </w:r>
      <w:r>
        <w:rPr>
          <w:rFonts w:hint="eastAsia" w:ascii="宋体" w:hAnsi="宋体" w:eastAsia="宋体" w:cs="宋体"/>
          <w:b/>
          <w:bCs/>
          <w:color w:val="333333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333333"/>
          <w:sz w:val="24"/>
        </w:rPr>
        <w:t xml:space="preserve"> 日</w:t>
      </w:r>
      <w:r>
        <w:rPr>
          <w:rFonts w:hint="eastAsia" w:ascii="宋体" w:hAnsi="宋体" w:eastAsia="宋体" w:cs="宋体"/>
          <w:b/>
          <w:bCs/>
          <w:color w:val="333333"/>
          <w:sz w:val="24"/>
          <w:lang w:val="en-US" w:eastAsia="zh-CN"/>
        </w:rPr>
        <w:t>9：15</w:t>
      </w:r>
    </w:p>
    <w:p>
      <w:pPr>
        <w:numPr>
          <w:ilvl w:val="255"/>
          <w:numId w:val="0"/>
        </w:numPr>
        <w:spacing w:line="560" w:lineRule="exact"/>
        <w:ind w:firstLine="480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 xml:space="preserve">联系人：    李瑶 </w:t>
      </w:r>
      <w:r>
        <w:rPr>
          <w:rFonts w:ascii="宋体" w:hAnsi="宋体" w:eastAsia="宋体" w:cs="Times New Roman"/>
          <w:b/>
          <w:bCs/>
          <w:kern w:val="0"/>
          <w:sz w:val="24"/>
        </w:rPr>
        <w:t xml:space="preserve"> 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 xml:space="preserve">             </w:t>
      </w:r>
      <w:r>
        <w:rPr>
          <w:rFonts w:ascii="宋体" w:hAnsi="宋体" w:eastAsia="宋体" w:cs="Times New Roman"/>
          <w:b/>
          <w:bCs/>
          <w:kern w:val="0"/>
          <w:sz w:val="24"/>
        </w:rPr>
        <w:t>联系方式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>：025-86869235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南京医科大学</w:t>
      </w:r>
    </w:p>
    <w:p>
      <w:pPr>
        <w:spacing w:line="360" w:lineRule="auto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2023年12月 </w:t>
      </w:r>
      <w:r>
        <w:rPr>
          <w:rFonts w:hint="eastAsia" w:ascii="宋体" w:hAnsi="宋体" w:eastAsia="宋体" w:cs="宋体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0706E9"/>
    <w:multiLevelType w:val="singleLevel"/>
    <w:tmpl w:val="D80706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F75650"/>
    <w:multiLevelType w:val="singleLevel"/>
    <w:tmpl w:val="FCF756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GQwNGU2MjVlMjYwOGQ1M2Y4ZGExZjVhZjcwMWYifQ=="/>
  </w:docVars>
  <w:rsids>
    <w:rsidRoot w:val="001C1BC9"/>
    <w:rsid w:val="00055AE3"/>
    <w:rsid w:val="001C1BC9"/>
    <w:rsid w:val="00845F65"/>
    <w:rsid w:val="00986007"/>
    <w:rsid w:val="009A5FF4"/>
    <w:rsid w:val="009F7F0E"/>
    <w:rsid w:val="00CE0E67"/>
    <w:rsid w:val="037732C7"/>
    <w:rsid w:val="07A64AE1"/>
    <w:rsid w:val="087264B4"/>
    <w:rsid w:val="08B1198F"/>
    <w:rsid w:val="0D9304EB"/>
    <w:rsid w:val="12983071"/>
    <w:rsid w:val="16832BBD"/>
    <w:rsid w:val="173C5B0B"/>
    <w:rsid w:val="18BC4164"/>
    <w:rsid w:val="1A5A3C35"/>
    <w:rsid w:val="1F1E01B7"/>
    <w:rsid w:val="28575575"/>
    <w:rsid w:val="29341AF5"/>
    <w:rsid w:val="29C015DB"/>
    <w:rsid w:val="2A677DE2"/>
    <w:rsid w:val="2B4B020F"/>
    <w:rsid w:val="2D391DD0"/>
    <w:rsid w:val="2E232138"/>
    <w:rsid w:val="32430FFB"/>
    <w:rsid w:val="328E470D"/>
    <w:rsid w:val="34C401D1"/>
    <w:rsid w:val="353D7F83"/>
    <w:rsid w:val="37494177"/>
    <w:rsid w:val="41F411C5"/>
    <w:rsid w:val="48AE4FC8"/>
    <w:rsid w:val="494C36E7"/>
    <w:rsid w:val="4A9E18C9"/>
    <w:rsid w:val="4C0A224A"/>
    <w:rsid w:val="4EE029C3"/>
    <w:rsid w:val="51352E05"/>
    <w:rsid w:val="5560245A"/>
    <w:rsid w:val="561923E2"/>
    <w:rsid w:val="56F00EA2"/>
    <w:rsid w:val="57B9221A"/>
    <w:rsid w:val="586236D9"/>
    <w:rsid w:val="589870FB"/>
    <w:rsid w:val="59345076"/>
    <w:rsid w:val="5E365F47"/>
    <w:rsid w:val="5FF11F12"/>
    <w:rsid w:val="6384309D"/>
    <w:rsid w:val="64CA4AE0"/>
    <w:rsid w:val="64F97173"/>
    <w:rsid w:val="65865A67"/>
    <w:rsid w:val="66293A88"/>
    <w:rsid w:val="67653A50"/>
    <w:rsid w:val="6A551BC0"/>
    <w:rsid w:val="6F1E6154"/>
    <w:rsid w:val="71190953"/>
    <w:rsid w:val="74D44181"/>
    <w:rsid w:val="77C30499"/>
    <w:rsid w:val="78EE6B97"/>
    <w:rsid w:val="7A460C55"/>
    <w:rsid w:val="7E63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rFonts w:cs="Calibri"/>
      <w:kern w:val="2"/>
      <w:sz w:val="21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Calibri" w:hAnsi="Calibri" w:eastAsia="宋体" w:cs="Times New Roman"/>
      <w:kern w:val="0"/>
      <w:sz w:val="20"/>
    </w:r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5">
    <w:name w:val="index 4"/>
    <w:basedOn w:val="1"/>
    <w:next w:val="1"/>
    <w:qFormat/>
    <w:uiPriority w:val="99"/>
    <w:pPr>
      <w:ind w:left="600" w:leftChars="600"/>
    </w:pPr>
    <w:rPr>
      <w:rFonts w:cs="Times New Roman"/>
    </w:rPr>
  </w:style>
  <w:style w:type="paragraph" w:styleId="6">
    <w:name w:val="Balloon Text"/>
    <w:basedOn w:val="1"/>
    <w:link w:val="9"/>
    <w:uiPriority w:val="0"/>
    <w:rPr>
      <w:sz w:val="18"/>
      <w:szCs w:val="18"/>
    </w:rPr>
  </w:style>
  <w:style w:type="character" w:customStyle="1" w:styleId="9">
    <w:name w:val="批注框文本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512</Characters>
  <Lines>4</Lines>
  <Paragraphs>1</Paragraphs>
  <TotalTime>12</TotalTime>
  <ScaleCrop>false</ScaleCrop>
  <LinksUpToDate>false</LinksUpToDate>
  <CharactersWithSpaces>600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2023-05-29T07:21:00Z</dcterms:created>
  <dc:creator>admin</dc:creator>
  <cp:lastModifiedBy>admin</cp:lastModifiedBy>
  <dcterms:modified xsi:type="dcterms:W3CDTF">2023-12-11T04:48:58Z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31E9D37A49C84AB8B2B33CAEA3BA8A1A_13</vt:lpwstr>
  </property>
</Properties>
</file>