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firstLine="0"/>
        <w:jc w:val="center"/>
        <w:rPr>
          <w:rFonts w:eastAsia="黑体"/>
          <w:b/>
          <w:bCs/>
          <w:sz w:val="84"/>
        </w:rPr>
      </w:pPr>
    </w:p>
    <w:p>
      <w:pPr>
        <w:pStyle w:val="31"/>
        <w:ind w:firstLine="0"/>
        <w:jc w:val="center"/>
        <w:rPr>
          <w:rFonts w:eastAsia="黑体"/>
          <w:b/>
          <w:bCs/>
          <w:sz w:val="84"/>
        </w:rPr>
      </w:pPr>
    </w:p>
    <w:p>
      <w:pPr>
        <w:pStyle w:val="31"/>
        <w:ind w:firstLine="0"/>
        <w:jc w:val="center"/>
        <w:rPr>
          <w:rFonts w:eastAsia="黑体"/>
          <w:b/>
          <w:bCs/>
          <w:sz w:val="84"/>
        </w:rPr>
      </w:pPr>
      <w:r>
        <w:rPr>
          <w:rFonts w:hint="eastAsia" w:eastAsia="黑体"/>
          <w:b/>
          <w:bCs/>
          <w:sz w:val="84"/>
        </w:rPr>
        <w:t>招　标　文　件</w:t>
      </w:r>
    </w:p>
    <w:p>
      <w:pPr>
        <w:pStyle w:val="31"/>
        <w:ind w:firstLine="2409" w:firstLineChars="750"/>
        <w:rPr>
          <w:b/>
          <w:bCs/>
          <w:sz w:val="32"/>
        </w:rPr>
      </w:pPr>
    </w:p>
    <w:p>
      <w:pPr>
        <w:pStyle w:val="31"/>
        <w:ind w:firstLine="0"/>
        <w:jc w:val="both"/>
        <w:rPr>
          <w:b/>
          <w:bCs/>
          <w:sz w:val="32"/>
        </w:rPr>
      </w:pPr>
      <w:r>
        <w:rPr>
          <w:rFonts w:hint="eastAsia"/>
          <w:b/>
          <w:bCs/>
          <w:sz w:val="32"/>
        </w:rPr>
        <w:t>项目名称：南京医科大学研究生院通识课程资源</w:t>
      </w:r>
    </w:p>
    <w:p>
      <w:pPr>
        <w:pStyle w:val="31"/>
        <w:ind w:firstLine="0"/>
        <w:jc w:val="both"/>
        <w:rPr>
          <w:b/>
          <w:bCs/>
          <w:sz w:val="32"/>
        </w:rPr>
      </w:pPr>
      <w:r>
        <w:rPr>
          <w:rFonts w:hint="eastAsia"/>
          <w:b/>
          <w:bCs/>
          <w:sz w:val="32"/>
        </w:rPr>
        <w:t>项目编号：</w:t>
      </w:r>
      <w:r>
        <w:rPr>
          <w:b/>
          <w:bCs/>
          <w:sz w:val="32"/>
        </w:rPr>
        <w:t>NJMUZB2242023077</w:t>
      </w: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spacing w:before="0" w:after="0"/>
        <w:ind w:firstLine="0"/>
        <w:rPr>
          <w:rFonts w:ascii="宋体" w:hAnsi="宋体"/>
        </w:rPr>
      </w:pPr>
    </w:p>
    <w:p>
      <w:pPr>
        <w:pStyle w:val="31"/>
        <w:ind w:firstLine="0"/>
        <w:jc w:val="center"/>
        <w:rPr>
          <w:b/>
          <w:bCs/>
          <w:sz w:val="32"/>
        </w:rPr>
      </w:pPr>
    </w:p>
    <w:p>
      <w:pPr>
        <w:pStyle w:val="31"/>
        <w:ind w:firstLine="0"/>
        <w:jc w:val="center"/>
        <w:rPr>
          <w:b/>
          <w:bCs/>
          <w:sz w:val="32"/>
        </w:rPr>
      </w:pPr>
      <w:r>
        <w:rPr>
          <w:rFonts w:hint="eastAsia"/>
          <w:b/>
          <w:bCs/>
          <w:sz w:val="32"/>
        </w:rPr>
        <w:t>南京医科大学</w:t>
      </w:r>
      <w:r>
        <w:br w:type="page"/>
      </w:r>
      <w:bookmarkStart w:id="0" w:name="_Toc517190880"/>
      <w:bookmarkStart w:id="1" w:name="_Toc120614210"/>
      <w:bookmarkStart w:id="2" w:name="_Toc513029200"/>
      <w:bookmarkStart w:id="3" w:name="_Toc20823272"/>
      <w:bookmarkStart w:id="4" w:name="_Toc523127445"/>
      <w:bookmarkStart w:id="5" w:name="_Toc16938516"/>
      <w:bookmarkStart w:id="6" w:name="_Toc479757206"/>
      <w:r>
        <w:rPr>
          <w:rFonts w:hint="eastAsia" w:ascii="黑体" w:hAnsi="黑体" w:eastAsia="黑体"/>
          <w:b/>
          <w:sz w:val="44"/>
          <w:szCs w:val="28"/>
        </w:rPr>
        <w:t>目录</w:t>
      </w:r>
      <w:bookmarkEnd w:id="0"/>
    </w:p>
    <w:p>
      <w:pPr>
        <w:pStyle w:val="18"/>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5"/>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5"/>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5"/>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5"/>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5"/>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5"/>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5"/>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OLE_LINK2"/>
      <w:bookmarkStart w:id="9" w:name="_Toc479757207"/>
      <w:bookmarkStart w:id="10" w:name="_Toc120614211"/>
      <w:bookmarkStart w:id="11" w:name="_Toc16938558"/>
      <w:bookmarkStart w:id="12" w:name="_Toc120614221"/>
      <w:bookmarkStart w:id="13" w:name="_Toc20823314"/>
      <w:bookmarkStart w:id="14" w:name="OLE_LINK1"/>
      <w:bookmarkStart w:id="15" w:name="_Toc444669970"/>
      <w:bookmarkStart w:id="16" w:name="_Toc513029242"/>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0"/>
          <w:u w:val="single"/>
        </w:rPr>
        <w:t>南京医科大学研究生院通识课程资源</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（一）采购项目名称：</w:t>
      </w:r>
      <w:r>
        <w:rPr>
          <w:rFonts w:hint="eastAsia" w:asciiTheme="minorEastAsia" w:hAnsiTheme="minorEastAsia" w:eastAsiaTheme="minorEastAsia"/>
          <w:sz w:val="24"/>
          <w:szCs w:val="20"/>
          <w:u w:val="single"/>
        </w:rPr>
        <w:t>南京医科大学研究生院通识课程资源</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（二）采购项目编号：</w:t>
      </w:r>
      <w:r>
        <w:rPr>
          <w:rFonts w:asciiTheme="minorEastAsia" w:hAnsiTheme="minorEastAsia" w:eastAsiaTheme="minorEastAsia"/>
          <w:sz w:val="24"/>
          <w:szCs w:val="24"/>
        </w:rPr>
        <w:t>NJMUZB2242023077</w:t>
      </w:r>
    </w:p>
    <w:p>
      <w:pPr>
        <w:spacing w:before="120" w:beforeLines="50" w:after="120" w:afterLines="50" w:line="360" w:lineRule="auto"/>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:19.8万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w:t>
      </w:r>
    </w:p>
    <w:p>
      <w:pPr>
        <w:pStyle w:val="2"/>
        <w:ind w:firstLine="480"/>
      </w:pPr>
      <w:r>
        <w:rPr>
          <w:rFonts w:hint="eastAsia" w:ascii="宋体" w:hAnsi="宋体" w:cs="宋体"/>
          <w:bCs/>
          <w:kern w:val="0"/>
          <w:sz w:val="24"/>
        </w:rPr>
        <w:t>拟</w:t>
      </w:r>
      <w:r>
        <w:rPr>
          <w:rFonts w:hint="eastAsia" w:ascii="宋体" w:hAnsi="宋体"/>
          <w:bCs/>
          <w:sz w:val="24"/>
          <w:szCs w:val="24"/>
        </w:rPr>
        <w:t>采购20门素质公选课程资源</w:t>
      </w:r>
      <w:r>
        <w:rPr>
          <w:rFonts w:hint="eastAsia" w:ascii="宋体" w:hAnsi="宋体" w:cs="宋体"/>
          <w:bCs/>
          <w:kern w:val="0"/>
          <w:sz w:val="24"/>
        </w:rPr>
        <w:t>。详见招标文件“第三章项目需求”；</w:t>
      </w:r>
    </w:p>
    <w:p>
      <w:pPr>
        <w:spacing w:before="120" w:beforeLines="50" w:after="120" w:afterLines="50" w:line="360" w:lineRule="auto"/>
        <w:ind w:firstLine="480" w:firstLineChars="200"/>
        <w:rPr>
          <w:rFonts w:hint="eastAsia" w:asciiTheme="minorEastAsia" w:hAnsiTheme="minorEastAsia" w:eastAsiaTheme="minorEastAsia"/>
          <w:sz w:val="24"/>
          <w:szCs w:val="24"/>
          <w:lang w:eastAsia="zh-CN"/>
        </w:rPr>
      </w:pP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r>
        <w:rPr>
          <w:rFonts w:ascii="宋体" w:hAnsi="宋体" w:eastAsia="宋体" w:cs="宋体"/>
          <w:sz w:val="24"/>
          <w:szCs w:val="24"/>
        </w:rPr>
        <w:t>2022年度审计报告或者</w:t>
      </w:r>
      <w:r>
        <w:rPr>
          <w:rFonts w:hint="eastAsia" w:ascii="宋体" w:hAnsi="宋体" w:eastAsia="宋体" w:cs="宋体"/>
          <w:sz w:val="24"/>
          <w:szCs w:val="24"/>
        </w:rPr>
        <w:t>202</w:t>
      </w:r>
      <w:r>
        <w:rPr>
          <w:rFonts w:ascii="宋体" w:hAnsi="宋体" w:eastAsia="宋体" w:cs="宋体"/>
          <w:sz w:val="24"/>
          <w:szCs w:val="24"/>
        </w:rPr>
        <w:t>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（一）投标文件接收截止时间及开标时间：2023年12月12日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00</w:t>
      </w:r>
      <w:bookmarkStart w:id="185" w:name="_GoBack"/>
      <w:bookmarkEnd w:id="185"/>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招标联系人：李老师</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联系电话：86869235</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（2）通过手机号和验证码登陆系统，点击“入校申请”。（系统内访问部门：研究生院培养办，人员：李瑶，联系方式：86869235）。</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
        <w:ind w:firstLine="480"/>
        <w:rPr>
          <w:rFonts w:ascii="宋体" w:hAnsi="宋体" w:cs="宋体"/>
          <w:sz w:val="24"/>
          <w:szCs w:val="24"/>
        </w:rPr>
      </w:pPr>
    </w:p>
    <w:p>
      <w:pPr>
        <w:rPr>
          <w:rFonts w:ascii="宋体" w:hAnsi="宋体" w:eastAsia="宋体" w:cs="宋体"/>
          <w:sz w:val="24"/>
          <w:szCs w:val="24"/>
        </w:rPr>
      </w:pPr>
    </w:p>
    <w:p>
      <w:pPr>
        <w:pStyle w:val="2"/>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八、公告发布期限：</w:t>
      </w:r>
      <w:r>
        <w:rPr>
          <w:rFonts w:hint="eastAsia" w:asciiTheme="minorEastAsia" w:hAnsiTheme="minorEastAsia" w:eastAsiaTheme="minorEastAsia"/>
          <w:sz w:val="24"/>
          <w:szCs w:val="24"/>
        </w:rPr>
        <w:t>为采购公告发布之日起五个工作日。</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九、其他</w:t>
      </w:r>
    </w:p>
    <w:p>
      <w:pPr>
        <w:spacing w:before="120" w:beforeLines="50" w:after="120" w:afterLines="50" w:line="360" w:lineRule="auto"/>
        <w:ind w:firstLine="480" w:firstLineChars="200"/>
        <w:rPr>
          <w:rFonts w:asciiTheme="minorEastAsia" w:hAnsiTheme="minorEastAsia" w:eastAsiaTheme="minorEastAsia"/>
          <w:bCs/>
          <w:sz w:val="32"/>
          <w:szCs w:val="28"/>
        </w:rPr>
      </w:pPr>
      <w:r>
        <w:rPr>
          <w:rFonts w:hint="eastAsia" w:asciiTheme="minorEastAsia" w:hAnsiTheme="minorEastAsia" w:eastAsiaTheme="minorEastAsia"/>
          <w:sz w:val="24"/>
          <w:szCs w:val="24"/>
        </w:rPr>
        <w:t>（一）现场勘查和标前会议根据项目特点确定是否需要。</w:t>
      </w:r>
    </w:p>
    <w:bookmarkEnd w:id="8"/>
    <w:bookmarkEnd w:id="9"/>
    <w:bookmarkEnd w:id="10"/>
    <w:bookmarkEnd w:id="11"/>
    <w:bookmarkEnd w:id="12"/>
    <w:bookmarkEnd w:id="13"/>
    <w:bookmarkEnd w:id="14"/>
    <w:bookmarkEnd w:id="15"/>
    <w:bookmarkEnd w:id="16"/>
    <w:p>
      <w:pPr>
        <w:pStyle w:val="5"/>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第二章</w:t>
      </w:r>
      <w:bookmarkStart w:id="18" w:name="_Toc20823274"/>
      <w:bookmarkStart w:id="19" w:name="_Toc513029202"/>
      <w:bookmarkStart w:id="20" w:name="_Toc120614213"/>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31"/>
        <w:rPr>
          <w:rFonts w:ascii="宋体" w:hAnsi="宋体" w:cs="宋体"/>
          <w:b/>
        </w:rPr>
      </w:pPr>
      <w:bookmarkStart w:id="22" w:name="_Toc120614214"/>
      <w:bookmarkStart w:id="23" w:name="_Toc16938519"/>
      <w:bookmarkStart w:id="24" w:name="_Toc513029203"/>
      <w:bookmarkStart w:id="25" w:name="_Toc20823275"/>
      <w:r>
        <w:rPr>
          <w:rFonts w:hint="eastAsia" w:ascii="宋体" w:hAnsi="宋体" w:cs="宋体"/>
          <w:b/>
        </w:rPr>
        <w:t>一、总则</w:t>
      </w:r>
      <w:bookmarkEnd w:id="22"/>
      <w:bookmarkEnd w:id="23"/>
      <w:bookmarkEnd w:id="24"/>
      <w:bookmarkEnd w:id="25"/>
    </w:p>
    <w:p>
      <w:pPr>
        <w:pStyle w:val="31"/>
        <w:rPr>
          <w:rFonts w:ascii="宋体" w:hAnsi="宋体" w:cs="宋体"/>
          <w:b/>
          <w:bCs/>
        </w:rPr>
      </w:pPr>
      <w:bookmarkStart w:id="26" w:name="_Hlt16619475"/>
      <w:bookmarkEnd w:id="26"/>
      <w:bookmarkStart w:id="27" w:name="_Toc458694821"/>
      <w:bookmarkStart w:id="28" w:name="_Toc20823276"/>
      <w:bookmarkStart w:id="29" w:name="_Toc513029204"/>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31"/>
        <w:rPr>
          <w:rFonts w:ascii="宋体" w:hAnsi="宋体" w:cs="宋体"/>
        </w:rPr>
      </w:pPr>
      <w:r>
        <w:rPr>
          <w:rFonts w:hint="eastAsia" w:ascii="宋体" w:hAnsi="宋体" w:cs="宋体"/>
        </w:rPr>
        <w:t>1.1本次招标采取公开招标方式，本招标文件仅适用于招标公告中所述项目。</w:t>
      </w:r>
    </w:p>
    <w:p>
      <w:pPr>
        <w:pStyle w:val="31"/>
        <w:rPr>
          <w:rFonts w:ascii="宋体" w:hAnsi="宋体" w:cs="宋体"/>
          <w:b/>
          <w:bCs/>
        </w:rPr>
      </w:pPr>
      <w:bookmarkStart w:id="31" w:name="_Toc20823277"/>
      <w:bookmarkStart w:id="32" w:name="_Toc513029205"/>
      <w:bookmarkStart w:id="33" w:name="_Toc16938521"/>
      <w:r>
        <w:rPr>
          <w:rFonts w:hint="eastAsia" w:ascii="宋体" w:hAnsi="宋体" w:cs="宋体"/>
          <w:b/>
          <w:bCs/>
        </w:rPr>
        <w:t>2.合格的投标人</w:t>
      </w:r>
      <w:bookmarkEnd w:id="31"/>
      <w:bookmarkEnd w:id="32"/>
      <w:bookmarkEnd w:id="33"/>
    </w:p>
    <w:p>
      <w:pPr>
        <w:pStyle w:val="31"/>
        <w:rPr>
          <w:rFonts w:ascii="宋体" w:hAnsi="宋体" w:cs="宋体"/>
        </w:rPr>
      </w:pPr>
      <w:r>
        <w:rPr>
          <w:rFonts w:hint="eastAsia" w:ascii="宋体" w:hAnsi="宋体" w:cs="宋体"/>
        </w:rPr>
        <w:t>2.1满足招标公告中供应商资格要求的规定。</w:t>
      </w:r>
    </w:p>
    <w:p>
      <w:pPr>
        <w:pStyle w:val="31"/>
        <w:rPr>
          <w:rFonts w:ascii="宋体" w:hAnsi="宋体" w:cs="宋体"/>
        </w:rPr>
      </w:pPr>
      <w:r>
        <w:rPr>
          <w:rFonts w:hint="eastAsia" w:ascii="宋体" w:hAnsi="宋体" w:cs="宋体"/>
        </w:rPr>
        <w:t>2.2满足本文件实质性条款的规定。</w:t>
      </w:r>
    </w:p>
    <w:p>
      <w:pPr>
        <w:pStyle w:val="31"/>
        <w:rPr>
          <w:rFonts w:ascii="宋体" w:hAnsi="宋体" w:cs="宋体"/>
          <w:b/>
          <w:bCs/>
        </w:rPr>
      </w:pPr>
      <w:bookmarkStart w:id="34" w:name="_Toc20823278"/>
      <w:bookmarkStart w:id="35" w:name="_Toc513029206"/>
      <w:bookmarkStart w:id="36" w:name="_Toc16938522"/>
      <w:r>
        <w:rPr>
          <w:rFonts w:hint="eastAsia" w:ascii="宋体" w:hAnsi="宋体" w:cs="宋体"/>
          <w:b/>
          <w:bCs/>
        </w:rPr>
        <w:t>3.适用法律</w:t>
      </w:r>
      <w:bookmarkEnd w:id="34"/>
      <w:bookmarkEnd w:id="35"/>
      <w:bookmarkEnd w:id="36"/>
    </w:p>
    <w:p>
      <w:pPr>
        <w:pStyle w:val="31"/>
        <w:rPr>
          <w:rFonts w:ascii="宋体" w:hAnsi="宋体" w:cs="宋体"/>
        </w:rPr>
      </w:pPr>
      <w:r>
        <w:rPr>
          <w:rFonts w:hint="eastAsia" w:ascii="宋体" w:hAnsi="宋体" w:cs="宋体"/>
        </w:rPr>
        <w:t>本次招标及由此产生的合同受中华人民共和国有关的法律法规制约和保护。</w:t>
      </w:r>
    </w:p>
    <w:p>
      <w:pPr>
        <w:pStyle w:val="31"/>
        <w:rPr>
          <w:rFonts w:ascii="宋体" w:hAnsi="宋体" w:cs="宋体"/>
          <w:b/>
          <w:bCs/>
        </w:rPr>
      </w:pPr>
      <w:bookmarkStart w:id="37" w:name="_Toc513029207"/>
      <w:bookmarkStart w:id="38" w:name="_Toc462564067"/>
      <w:bookmarkStart w:id="39" w:name="_Toc16938523"/>
      <w:bookmarkStart w:id="40" w:name="_Toc20823279"/>
      <w:r>
        <w:rPr>
          <w:rFonts w:hint="eastAsia" w:ascii="宋体" w:hAnsi="宋体" w:cs="宋体"/>
          <w:b/>
          <w:bCs/>
        </w:rPr>
        <w:t>4.投标费用</w:t>
      </w:r>
      <w:bookmarkEnd w:id="37"/>
      <w:bookmarkEnd w:id="38"/>
      <w:bookmarkEnd w:id="39"/>
      <w:bookmarkEnd w:id="40"/>
    </w:p>
    <w:p>
      <w:pPr>
        <w:pStyle w:val="31"/>
        <w:rPr>
          <w:rFonts w:ascii="宋体" w:hAnsi="宋体" w:cs="宋体"/>
        </w:rPr>
      </w:pPr>
      <w:r>
        <w:rPr>
          <w:rFonts w:hint="eastAsia" w:ascii="宋体" w:hAnsi="宋体" w:cs="宋体"/>
        </w:rPr>
        <w:t>投标人应自行承担所有与参加投标有关的费用。</w:t>
      </w:r>
    </w:p>
    <w:p>
      <w:pPr>
        <w:pStyle w:val="31"/>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31"/>
        <w:rPr>
          <w:rFonts w:ascii="宋体" w:hAnsi="宋体" w:cs="宋体"/>
        </w:rPr>
      </w:pPr>
      <w:r>
        <w:rPr>
          <w:rFonts w:hint="eastAsia" w:ascii="宋体" w:hAnsi="宋体" w:cs="宋体"/>
        </w:rPr>
        <w:t>投标人一旦参加本项目采购活动，即被认为接受了本招标文件的规定和约束。</w:t>
      </w:r>
    </w:p>
    <w:p>
      <w:pPr>
        <w:pStyle w:val="31"/>
        <w:rPr>
          <w:rFonts w:ascii="宋体" w:hAnsi="宋体" w:cs="宋体"/>
          <w:b/>
        </w:rPr>
      </w:pPr>
      <w:bookmarkStart w:id="41" w:name="_Toc120614215"/>
      <w:bookmarkStart w:id="42" w:name="_Toc16938525"/>
      <w:bookmarkStart w:id="43" w:name="_Toc20823281"/>
      <w:bookmarkStart w:id="44" w:name="_Toc513029209"/>
      <w:bookmarkStart w:id="45" w:name="_Toc517190883"/>
      <w:r>
        <w:rPr>
          <w:rFonts w:hint="eastAsia" w:ascii="宋体" w:hAnsi="宋体" w:cs="宋体"/>
          <w:b/>
        </w:rPr>
        <w:t>二、招标文件</w:t>
      </w:r>
      <w:bookmarkEnd w:id="41"/>
      <w:bookmarkEnd w:id="42"/>
      <w:bookmarkEnd w:id="43"/>
      <w:bookmarkEnd w:id="44"/>
      <w:bookmarkEnd w:id="45"/>
    </w:p>
    <w:p>
      <w:pPr>
        <w:pStyle w:val="31"/>
        <w:rPr>
          <w:rFonts w:ascii="宋体" w:hAnsi="宋体" w:cs="宋体"/>
          <w:b/>
          <w:bCs/>
        </w:rPr>
      </w:pPr>
      <w:bookmarkStart w:id="46" w:name="_Toc513029210"/>
      <w:bookmarkStart w:id="47" w:name="_Toc20823282"/>
      <w:bookmarkStart w:id="48" w:name="_Toc16938526"/>
      <w:r>
        <w:rPr>
          <w:rFonts w:hint="eastAsia" w:ascii="宋体" w:hAnsi="宋体" w:cs="宋体"/>
          <w:b/>
          <w:bCs/>
        </w:rPr>
        <w:t>6.招标文件构成</w:t>
      </w:r>
      <w:bookmarkEnd w:id="46"/>
      <w:bookmarkEnd w:id="47"/>
      <w:bookmarkEnd w:id="48"/>
    </w:p>
    <w:p>
      <w:pPr>
        <w:pStyle w:val="31"/>
        <w:rPr>
          <w:rFonts w:ascii="宋体" w:hAnsi="宋体" w:cs="宋体"/>
        </w:rPr>
      </w:pPr>
      <w:r>
        <w:rPr>
          <w:rFonts w:hint="eastAsia" w:ascii="宋体" w:hAnsi="宋体" w:cs="宋体"/>
          <w:bCs/>
        </w:rPr>
        <w:t>6.1</w:t>
      </w:r>
      <w:r>
        <w:rPr>
          <w:rFonts w:hint="eastAsia" w:ascii="宋体" w:hAnsi="宋体" w:cs="宋体"/>
        </w:rPr>
        <w:t>招标文件由以下部分组成：</w:t>
      </w:r>
    </w:p>
    <w:p>
      <w:pPr>
        <w:pStyle w:val="31"/>
        <w:rPr>
          <w:rFonts w:ascii="宋体" w:hAnsi="宋体" w:cs="宋体"/>
        </w:rPr>
      </w:pPr>
      <w:r>
        <w:rPr>
          <w:rFonts w:hint="eastAsia" w:ascii="宋体" w:hAnsi="宋体" w:cs="宋体"/>
        </w:rPr>
        <w:t>（1）招标公告</w:t>
      </w:r>
    </w:p>
    <w:p>
      <w:pPr>
        <w:pStyle w:val="31"/>
        <w:rPr>
          <w:rFonts w:ascii="宋体" w:hAnsi="宋体" w:cs="宋体"/>
        </w:rPr>
      </w:pPr>
      <w:r>
        <w:rPr>
          <w:rFonts w:hint="eastAsia" w:ascii="宋体" w:hAnsi="宋体" w:cs="宋体"/>
        </w:rPr>
        <w:t>（2）投标人须知</w:t>
      </w:r>
    </w:p>
    <w:p>
      <w:pPr>
        <w:pStyle w:val="31"/>
        <w:rPr>
          <w:rFonts w:ascii="宋体" w:hAnsi="宋体" w:cs="宋体"/>
        </w:rPr>
      </w:pPr>
      <w:r>
        <w:rPr>
          <w:rFonts w:hint="eastAsia" w:ascii="宋体" w:hAnsi="宋体" w:cs="宋体"/>
        </w:rPr>
        <w:t>（3）项目需求</w:t>
      </w:r>
    </w:p>
    <w:p>
      <w:pPr>
        <w:pStyle w:val="31"/>
        <w:rPr>
          <w:rFonts w:ascii="宋体" w:hAnsi="宋体" w:cs="宋体"/>
        </w:rPr>
      </w:pPr>
      <w:r>
        <w:rPr>
          <w:rFonts w:hint="eastAsia" w:ascii="宋体" w:hAnsi="宋体" w:cs="宋体"/>
        </w:rPr>
        <w:t>（4）评标方法与评标标准</w:t>
      </w:r>
    </w:p>
    <w:p>
      <w:pPr>
        <w:pStyle w:val="31"/>
        <w:rPr>
          <w:rFonts w:ascii="宋体" w:hAnsi="宋体" w:cs="宋体"/>
        </w:rPr>
      </w:pPr>
      <w:r>
        <w:rPr>
          <w:rFonts w:hint="eastAsia" w:ascii="宋体" w:hAnsi="宋体" w:cs="宋体"/>
        </w:rPr>
        <w:t>（5）投标文件格式</w:t>
      </w:r>
    </w:p>
    <w:p>
      <w:pPr>
        <w:pStyle w:val="31"/>
        <w:rPr>
          <w:rFonts w:ascii="宋体" w:hAnsi="宋体" w:cs="宋体"/>
        </w:rPr>
      </w:pPr>
      <w:r>
        <w:rPr>
          <w:rFonts w:hint="eastAsia" w:ascii="宋体" w:hAnsi="宋体" w:cs="宋体"/>
        </w:rPr>
        <w:t>（6）签订合同范本</w:t>
      </w:r>
    </w:p>
    <w:p>
      <w:pPr>
        <w:pStyle w:val="31"/>
        <w:rPr>
          <w:rFonts w:ascii="宋体" w:hAnsi="宋体" w:cs="宋体"/>
        </w:rPr>
      </w:pPr>
      <w:r>
        <w:rPr>
          <w:rFonts w:hint="eastAsia" w:ascii="宋体" w:hAnsi="宋体" w:cs="宋体"/>
        </w:rPr>
        <w:t>请仔细检查招标文件是否齐全，如有缺漏请立即与采购人联系解决。</w:t>
      </w:r>
    </w:p>
    <w:p>
      <w:pPr>
        <w:pStyle w:val="31"/>
        <w:rPr>
          <w:rFonts w:ascii="宋体" w:hAnsi="宋体" w:cs="宋体"/>
        </w:rPr>
      </w:pPr>
      <w:r>
        <w:rPr>
          <w:rFonts w:hint="eastAsia" w:ascii="宋体" w:hAnsi="宋体" w:cs="宋体"/>
          <w:bCs/>
        </w:rPr>
        <w:t>6.2</w:t>
      </w:r>
      <w:r>
        <w:rPr>
          <w:rFonts w:hint="eastAsia" w:ascii="宋体" w:hAnsi="宋体" w:cs="宋体"/>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1"/>
        <w:rPr>
          <w:rFonts w:ascii="宋体" w:hAnsi="宋体" w:cs="宋体"/>
          <w:b/>
          <w:bCs/>
        </w:rPr>
      </w:pPr>
      <w:bookmarkStart w:id="49" w:name="_Toc462564070"/>
      <w:bookmarkStart w:id="50" w:name="_Toc20823283"/>
      <w:bookmarkStart w:id="51" w:name="_Toc513029211"/>
      <w:bookmarkStart w:id="52" w:name="_Toc16938527"/>
      <w:r>
        <w:rPr>
          <w:rFonts w:hint="eastAsia" w:ascii="宋体" w:hAnsi="宋体" w:cs="宋体"/>
          <w:b/>
          <w:bCs/>
        </w:rPr>
        <w:t>7.招标文件的澄清</w:t>
      </w:r>
      <w:bookmarkEnd w:id="49"/>
      <w:bookmarkEnd w:id="50"/>
      <w:bookmarkEnd w:id="51"/>
      <w:bookmarkEnd w:id="52"/>
    </w:p>
    <w:p>
      <w:pPr>
        <w:pStyle w:val="31"/>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31"/>
        <w:rPr>
          <w:rFonts w:ascii="宋体" w:hAnsi="宋体" w:cs="宋体"/>
          <w:b/>
          <w:bCs/>
        </w:rPr>
      </w:pPr>
      <w:bookmarkStart w:id="53" w:name="_Toc20823284"/>
      <w:bookmarkStart w:id="54" w:name="_Toc513029212"/>
      <w:bookmarkStart w:id="55" w:name="_Toc16938528"/>
      <w:bookmarkStart w:id="56" w:name="_Toc462564071"/>
      <w:r>
        <w:rPr>
          <w:rFonts w:hint="eastAsia" w:ascii="宋体" w:hAnsi="宋体" w:cs="宋体"/>
          <w:b/>
          <w:bCs/>
        </w:rPr>
        <w:t>8.招标文件的修改</w:t>
      </w:r>
      <w:bookmarkEnd w:id="53"/>
      <w:bookmarkEnd w:id="54"/>
      <w:bookmarkEnd w:id="55"/>
      <w:bookmarkEnd w:id="56"/>
    </w:p>
    <w:p>
      <w:pPr>
        <w:pStyle w:val="31"/>
        <w:rPr>
          <w:rFonts w:ascii="宋体" w:hAnsi="宋体" w:cs="宋体"/>
        </w:rPr>
      </w:pPr>
      <w:r>
        <w:rPr>
          <w:rFonts w:hint="eastAsia" w:ascii="宋体" w:hAnsi="宋体" w:cs="宋体"/>
          <w:bCs/>
        </w:rPr>
        <w:t>8.1</w:t>
      </w:r>
      <w:r>
        <w:rPr>
          <w:rFonts w:hint="eastAsia" w:ascii="宋体" w:hAnsi="宋体" w:cs="宋体"/>
        </w:rPr>
        <w:t>在投标截止时间前，采购人可以对招标文件进行修改。</w:t>
      </w:r>
    </w:p>
    <w:p>
      <w:pPr>
        <w:pStyle w:val="31"/>
        <w:rPr>
          <w:rFonts w:ascii="宋体" w:hAnsi="宋体" w:cs="宋体"/>
        </w:rPr>
      </w:pPr>
      <w:r>
        <w:rPr>
          <w:rFonts w:hint="eastAsia" w:ascii="宋体" w:hAnsi="宋体" w:cs="宋体"/>
          <w:bCs/>
        </w:rPr>
        <w:t>8.2</w:t>
      </w:r>
      <w:r>
        <w:rPr>
          <w:rFonts w:hint="eastAsia" w:ascii="宋体" w:hAnsi="宋体" w:cs="宋体"/>
        </w:rPr>
        <w:t>采购人有权按照法定的要求推迟投标截止日期和开标日期。</w:t>
      </w:r>
    </w:p>
    <w:p>
      <w:pPr>
        <w:pStyle w:val="31"/>
        <w:rPr>
          <w:rFonts w:ascii="宋体" w:hAnsi="宋体" w:cs="宋体"/>
        </w:rPr>
      </w:pPr>
      <w:r>
        <w:rPr>
          <w:rFonts w:hint="eastAsia" w:ascii="宋体" w:hAnsi="宋体" w:cs="宋体"/>
          <w:bCs/>
        </w:rPr>
        <w:t>8.3</w:t>
      </w:r>
      <w:r>
        <w:rPr>
          <w:rFonts w:hint="eastAsia" w:ascii="宋体" w:hAnsi="宋体" w:cs="宋体"/>
        </w:rPr>
        <w:t>招标文件的修改将在南京医科大学校园网公布，补充文件将作为招标文件的组成部分，并对投标人具有约束力。</w:t>
      </w:r>
    </w:p>
    <w:p>
      <w:pPr>
        <w:pStyle w:val="31"/>
        <w:rPr>
          <w:rFonts w:ascii="宋体" w:hAnsi="宋体" w:cs="宋体"/>
          <w:b/>
        </w:rPr>
      </w:pPr>
      <w:bookmarkStart w:id="57" w:name="_Toc16938529"/>
      <w:bookmarkStart w:id="58" w:name="_Toc462564072"/>
      <w:bookmarkStart w:id="59" w:name="_Toc120614216"/>
      <w:bookmarkStart w:id="60" w:name="_Toc513029213"/>
      <w:bookmarkStart w:id="61" w:name="_Toc517190884"/>
      <w:bookmarkStart w:id="62" w:name="_Toc20823285"/>
      <w:r>
        <w:rPr>
          <w:rFonts w:hint="eastAsia" w:ascii="宋体" w:hAnsi="宋体" w:cs="宋体"/>
          <w:b/>
        </w:rPr>
        <w:t>三、投标文件的编制</w:t>
      </w:r>
      <w:bookmarkEnd w:id="57"/>
      <w:bookmarkEnd w:id="58"/>
      <w:bookmarkEnd w:id="59"/>
      <w:bookmarkEnd w:id="60"/>
      <w:bookmarkEnd w:id="61"/>
      <w:bookmarkEnd w:id="62"/>
    </w:p>
    <w:p>
      <w:pPr>
        <w:pStyle w:val="31"/>
        <w:rPr>
          <w:rFonts w:ascii="宋体" w:hAnsi="宋体" w:cs="宋体"/>
          <w:bCs/>
        </w:rPr>
      </w:pPr>
      <w:bookmarkStart w:id="63" w:name="_Toc16938530"/>
      <w:bookmarkStart w:id="64" w:name="_Toc462564073"/>
      <w:bookmarkStart w:id="65" w:name="_Toc20823286"/>
      <w:bookmarkStart w:id="66" w:name="_Toc513029214"/>
      <w:r>
        <w:rPr>
          <w:rFonts w:hint="eastAsia" w:ascii="宋体" w:hAnsi="宋体" w:cs="宋体"/>
          <w:b/>
          <w:bCs/>
        </w:rPr>
        <w:t>9.投标文件的语言及度量衡单位</w:t>
      </w:r>
      <w:bookmarkEnd w:id="63"/>
      <w:bookmarkEnd w:id="64"/>
      <w:bookmarkEnd w:id="65"/>
      <w:bookmarkEnd w:id="66"/>
    </w:p>
    <w:p>
      <w:pPr>
        <w:pStyle w:val="31"/>
        <w:rPr>
          <w:rFonts w:ascii="宋体" w:hAnsi="宋体" w:cs="宋体"/>
        </w:rPr>
      </w:pPr>
      <w:r>
        <w:rPr>
          <w:rFonts w:hint="eastAsia" w:ascii="宋体" w:hAnsi="宋体" w:cs="宋体"/>
          <w:bCs/>
        </w:rPr>
        <w:t>9.1</w:t>
      </w:r>
      <w:r>
        <w:rPr>
          <w:rFonts w:hint="eastAsia" w:ascii="宋体" w:hAnsi="宋体" w:cs="宋体"/>
        </w:rPr>
        <w:t>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31"/>
        <w:rPr>
          <w:rFonts w:ascii="宋体" w:hAnsi="宋体" w:cs="宋体"/>
        </w:rPr>
      </w:pPr>
      <w:r>
        <w:rPr>
          <w:rFonts w:hint="eastAsia" w:ascii="宋体" w:hAnsi="宋体" w:cs="宋体"/>
          <w:bCs/>
        </w:rPr>
        <w:t>9.2</w:t>
      </w:r>
      <w:r>
        <w:rPr>
          <w:rFonts w:hint="eastAsia" w:ascii="宋体" w:hAnsi="宋体" w:cs="宋体"/>
        </w:rPr>
        <w:t>除技术性能另有规定外，投标文件所使用的度量衡单位，均须采用国家法定计量单位。</w:t>
      </w:r>
    </w:p>
    <w:p>
      <w:pPr>
        <w:pStyle w:val="31"/>
        <w:rPr>
          <w:rFonts w:ascii="宋体" w:hAnsi="宋体" w:cs="宋体"/>
          <w:b/>
          <w:bCs/>
        </w:rPr>
      </w:pPr>
      <w:bookmarkStart w:id="67" w:name="_Toc513029215"/>
      <w:bookmarkStart w:id="68" w:name="_Toc20823287"/>
      <w:bookmarkStart w:id="69" w:name="_Toc462564074"/>
      <w:bookmarkStart w:id="70" w:name="_Toc16938531"/>
      <w:r>
        <w:rPr>
          <w:rFonts w:hint="eastAsia" w:ascii="宋体" w:hAnsi="宋体" w:cs="宋体"/>
          <w:b/>
          <w:bCs/>
        </w:rPr>
        <w:t>10.投标文件构成</w:t>
      </w:r>
      <w:bookmarkEnd w:id="67"/>
      <w:bookmarkEnd w:id="68"/>
      <w:bookmarkEnd w:id="69"/>
      <w:bookmarkEnd w:id="70"/>
    </w:p>
    <w:p>
      <w:pPr>
        <w:pStyle w:val="31"/>
        <w:rPr>
          <w:rFonts w:ascii="宋体" w:hAnsi="宋体" w:cs="宋体"/>
        </w:rPr>
      </w:pPr>
      <w:r>
        <w:rPr>
          <w:rFonts w:hint="eastAsia" w:ascii="宋体" w:hAnsi="宋体" w:cs="宋体"/>
          <w:bCs/>
        </w:rPr>
        <w:t>10.1</w:t>
      </w:r>
      <w:r>
        <w:rPr>
          <w:rFonts w:hint="eastAsia" w:ascii="宋体" w:hAnsi="宋体" w:cs="宋体"/>
        </w:rPr>
        <w:t>投标人编写的投标文件应包括投标函、开标一览表、资信证明文件、投标配置与分项报价表、技术参数响应及偏离表、技术及售后服务承诺书等部分。</w:t>
      </w:r>
    </w:p>
    <w:p>
      <w:pPr>
        <w:pStyle w:val="31"/>
        <w:rPr>
          <w:rFonts w:ascii="宋体" w:hAnsi="宋体" w:cs="宋体"/>
        </w:rPr>
      </w:pPr>
      <w:r>
        <w:rPr>
          <w:rFonts w:hint="eastAsia" w:ascii="宋体" w:hAnsi="宋体" w:cs="宋体"/>
        </w:rPr>
        <w:t>10.2投标人应将投标文件按顺序装订成册，并编制投标文件资料目录。</w:t>
      </w:r>
    </w:p>
    <w:p>
      <w:pPr>
        <w:pStyle w:val="31"/>
        <w:rPr>
          <w:rFonts w:ascii="宋体" w:hAnsi="宋体" w:cs="宋体"/>
          <w:b/>
          <w:bCs/>
        </w:rPr>
      </w:pPr>
      <w:bookmarkStart w:id="71" w:name="_Hlt26954838"/>
      <w:bookmarkEnd w:id="71"/>
      <w:bookmarkStart w:id="72" w:name="_Hlt26670360"/>
      <w:bookmarkEnd w:id="72"/>
      <w:bookmarkStart w:id="73" w:name="_Hlt26668975"/>
      <w:bookmarkEnd w:id="73"/>
      <w:bookmarkStart w:id="74" w:name="_Toc513029219"/>
      <w:bookmarkStart w:id="75" w:name="_Toc14577357"/>
      <w:bookmarkStart w:id="76" w:name="_Toc49090509"/>
      <w:bookmarkStart w:id="77" w:name="_Toc513029216"/>
      <w:bookmarkStart w:id="78" w:name="_Toc14577354"/>
      <w:bookmarkStart w:id="79" w:name="_Toc49090507"/>
      <w:r>
        <w:rPr>
          <w:rFonts w:hint="eastAsia" w:ascii="宋体" w:hAnsi="宋体" w:cs="宋体"/>
          <w:b/>
          <w:bCs/>
        </w:rPr>
        <w:t>11.证明投标人资格及符合招标文件规定的文件</w:t>
      </w:r>
      <w:bookmarkEnd w:id="74"/>
      <w:bookmarkEnd w:id="75"/>
      <w:bookmarkEnd w:id="76"/>
    </w:p>
    <w:p>
      <w:pPr>
        <w:pStyle w:val="31"/>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31"/>
        <w:rPr>
          <w:rFonts w:ascii="宋体" w:hAnsi="宋体" w:cs="宋体"/>
        </w:rPr>
      </w:pPr>
      <w:r>
        <w:rPr>
          <w:rFonts w:hint="eastAsia" w:ascii="宋体" w:hAnsi="宋体" w:cs="宋体"/>
        </w:rPr>
        <w:t>11.2投标人应具有资格参加投标和中标后有能力独立履行合同的能力。</w:t>
      </w:r>
    </w:p>
    <w:p>
      <w:pPr>
        <w:pStyle w:val="31"/>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31"/>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31"/>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31"/>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31"/>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31"/>
        <w:rPr>
          <w:rFonts w:ascii="宋体" w:hAnsi="宋体" w:cs="宋体"/>
          <w:bCs/>
        </w:rPr>
      </w:pPr>
      <w:r>
        <w:rPr>
          <w:rFonts w:hint="eastAsia" w:ascii="宋体" w:hAnsi="宋体" w:cs="宋体"/>
        </w:rPr>
        <w:t>12.3</w:t>
      </w:r>
      <w:r>
        <w:rPr>
          <w:rFonts w:hint="eastAsia" w:ascii="宋体" w:hAnsi="宋体" w:cs="宋体"/>
          <w:bCs/>
        </w:rPr>
        <w:t>有关费用处理</w:t>
      </w:r>
    </w:p>
    <w:p>
      <w:pPr>
        <w:pStyle w:val="31"/>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31"/>
        <w:rPr>
          <w:rFonts w:ascii="宋体" w:hAnsi="宋体" w:cs="宋体"/>
          <w:bCs/>
        </w:rPr>
      </w:pPr>
      <w:r>
        <w:rPr>
          <w:rFonts w:hint="eastAsia" w:ascii="宋体" w:hAnsi="宋体" w:cs="宋体"/>
        </w:rPr>
        <w:t>12.4</w:t>
      </w:r>
      <w:r>
        <w:rPr>
          <w:rFonts w:hint="eastAsia" w:ascii="宋体" w:hAnsi="宋体" w:cs="宋体"/>
          <w:bCs/>
        </w:rPr>
        <w:t>其它费用处理</w:t>
      </w:r>
    </w:p>
    <w:p>
      <w:pPr>
        <w:pStyle w:val="31"/>
        <w:rPr>
          <w:rFonts w:ascii="宋体" w:hAnsi="宋体" w:cs="宋体"/>
          <w:bCs/>
        </w:rPr>
      </w:pPr>
      <w:r>
        <w:rPr>
          <w:rFonts w:hint="eastAsia" w:ascii="宋体" w:hAnsi="宋体" w:cs="宋体"/>
          <w:bCs/>
        </w:rPr>
        <w:t>招标文件未列明，而投标人认为必需的费用也需列入报价。</w:t>
      </w:r>
    </w:p>
    <w:p>
      <w:pPr>
        <w:pStyle w:val="31"/>
        <w:rPr>
          <w:rFonts w:ascii="宋体" w:hAnsi="宋体" w:cs="宋体"/>
        </w:rPr>
      </w:pPr>
      <w:r>
        <w:rPr>
          <w:rFonts w:hint="eastAsia" w:ascii="宋体" w:hAnsi="宋体" w:cs="宋体"/>
        </w:rPr>
        <w:t>12.5</w:t>
      </w:r>
      <w:r>
        <w:rPr>
          <w:rFonts w:hint="eastAsia" w:ascii="宋体" w:hAnsi="宋体" w:cs="宋体"/>
          <w:bCs/>
        </w:rPr>
        <w:t>投标配置与分项报价表上的价格应按下列方式分开填写</w:t>
      </w:r>
      <w:r>
        <w:rPr>
          <w:rFonts w:hint="eastAsia" w:ascii="宋体" w:hAnsi="宋体" w:cs="宋体"/>
        </w:rPr>
        <w:t>：</w:t>
      </w:r>
    </w:p>
    <w:p>
      <w:pPr>
        <w:pStyle w:val="31"/>
        <w:rPr>
          <w:rFonts w:ascii="宋体" w:hAnsi="宋体" w:cs="宋体"/>
          <w:bCs/>
        </w:rPr>
      </w:pPr>
      <w:bookmarkStart w:id="86" w:name="_Hlt26670425"/>
      <w:bookmarkEnd w:id="86"/>
      <w:bookmarkStart w:id="87" w:name="_Hlt26954844"/>
      <w:bookmarkEnd w:id="87"/>
      <w:bookmarkStart w:id="88" w:name="_Hlt26670403"/>
      <w:bookmarkEnd w:id="88"/>
      <w:bookmarkStart w:id="89" w:name="_Hlt26668983"/>
      <w:bookmarkEnd w:id="89"/>
      <w:bookmarkStart w:id="90" w:name="_Hlt26954842"/>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31"/>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31"/>
        <w:rPr>
          <w:rFonts w:ascii="宋体" w:hAnsi="宋体" w:cs="宋体"/>
          <w:b/>
          <w:bCs/>
        </w:rPr>
      </w:pPr>
      <w:bookmarkStart w:id="91" w:name="_Hlt26954848"/>
      <w:bookmarkEnd w:id="91"/>
      <w:bookmarkStart w:id="92" w:name="_Hlt26954731"/>
      <w:bookmarkEnd w:id="92"/>
      <w:bookmarkStart w:id="93" w:name="_Hlt26954846"/>
      <w:bookmarkEnd w:id="93"/>
      <w:bookmarkStart w:id="94" w:name="_Hlt26670482"/>
      <w:bookmarkEnd w:id="94"/>
      <w:bookmarkStart w:id="95" w:name="_Hlt26670486"/>
      <w:bookmarkEnd w:id="95"/>
      <w:r>
        <w:rPr>
          <w:rFonts w:hint="eastAsia" w:ascii="宋体" w:hAnsi="宋体" w:cs="宋体"/>
          <w:b/>
          <w:bCs/>
        </w:rPr>
        <w:t>13.技术参数响应及偏离表和投标货物说明</w:t>
      </w:r>
    </w:p>
    <w:p>
      <w:pPr>
        <w:pStyle w:val="31"/>
        <w:rPr>
          <w:rFonts w:ascii="宋体" w:hAnsi="宋体" w:cs="宋体"/>
          <w:lang w:val="zh-CN"/>
        </w:rPr>
      </w:pPr>
      <w:r>
        <w:rPr>
          <w:rFonts w:hint="eastAsia" w:ascii="宋体" w:hAnsi="宋体" w:cs="宋体"/>
          <w:bCs/>
          <w:lang w:val="zh-CN"/>
        </w:rPr>
        <w:t>13.1</w:t>
      </w:r>
      <w:r>
        <w:rPr>
          <w:rFonts w:hint="eastAsia" w:ascii="宋体" w:hAnsi="宋体" w:cs="宋体"/>
          <w:lang w:val="zh-CN"/>
        </w:rPr>
        <w:t>对招标文件中的技术与商务条款要求逐项作出响应或偏离，并说明原因；</w:t>
      </w:r>
    </w:p>
    <w:p>
      <w:pPr>
        <w:pStyle w:val="31"/>
        <w:rPr>
          <w:rFonts w:ascii="宋体" w:hAnsi="宋体" w:cs="宋体"/>
          <w:lang w:val="zh-CN"/>
        </w:rPr>
      </w:pPr>
      <w:r>
        <w:rPr>
          <w:rFonts w:hint="eastAsia" w:ascii="宋体" w:hAnsi="宋体" w:cs="宋体"/>
          <w:lang w:val="zh-CN"/>
        </w:rPr>
        <w:t>13.2详细阐述所投货物的主要组成部分、功能设计、实现思路及关键技术；</w:t>
      </w:r>
    </w:p>
    <w:p>
      <w:pPr>
        <w:pStyle w:val="31"/>
        <w:rPr>
          <w:rFonts w:ascii="宋体" w:hAnsi="宋体" w:cs="宋体"/>
          <w:lang w:val="zh-CN"/>
        </w:rPr>
      </w:pPr>
      <w:r>
        <w:rPr>
          <w:rFonts w:hint="eastAsia" w:ascii="宋体" w:hAnsi="宋体" w:cs="宋体"/>
          <w:lang w:val="zh-CN"/>
        </w:rPr>
        <w:t>13.3投标人认为需要的其他技术文件或说明。</w:t>
      </w:r>
    </w:p>
    <w:p>
      <w:pPr>
        <w:pStyle w:val="31"/>
        <w:rPr>
          <w:rFonts w:ascii="宋体" w:hAnsi="宋体" w:cs="宋体"/>
          <w:b/>
          <w:bCs/>
        </w:rPr>
      </w:pPr>
      <w:r>
        <w:rPr>
          <w:rFonts w:hint="eastAsia" w:ascii="宋体" w:hAnsi="宋体" w:cs="宋体"/>
          <w:b/>
          <w:bCs/>
        </w:rPr>
        <w:t>14.服务承诺及售后服务机构、人员的情况介绍</w:t>
      </w:r>
    </w:p>
    <w:p>
      <w:pPr>
        <w:pStyle w:val="31"/>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31"/>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31"/>
        <w:rPr>
          <w:rFonts w:ascii="宋体" w:hAnsi="宋体" w:cs="宋体"/>
          <w:lang w:val="zh-CN"/>
        </w:rPr>
      </w:pPr>
      <w:r>
        <w:rPr>
          <w:rFonts w:hint="eastAsia" w:ascii="宋体" w:hAnsi="宋体" w:cs="宋体"/>
          <w:lang w:val="zh-CN"/>
        </w:rPr>
        <w:t>14.3培训计划；</w:t>
      </w:r>
    </w:p>
    <w:p>
      <w:pPr>
        <w:pStyle w:val="31"/>
        <w:rPr>
          <w:rFonts w:ascii="宋体" w:hAnsi="宋体" w:cs="宋体"/>
          <w:lang w:val="zh-CN"/>
        </w:rPr>
      </w:pPr>
      <w:r>
        <w:rPr>
          <w:rFonts w:hint="eastAsia" w:ascii="宋体" w:hAnsi="宋体" w:cs="宋体"/>
          <w:lang w:val="zh-CN"/>
        </w:rPr>
        <w:t>14.4提供参加本项目类似案例简介；</w:t>
      </w:r>
    </w:p>
    <w:p>
      <w:pPr>
        <w:pStyle w:val="31"/>
        <w:rPr>
          <w:rFonts w:ascii="宋体" w:hAnsi="宋体" w:cs="宋体"/>
          <w:b/>
          <w:bCs/>
        </w:rPr>
      </w:pPr>
      <w:bookmarkStart w:id="96" w:name="_Toc14577359"/>
      <w:bookmarkStart w:id="97" w:name="_Toc49090510"/>
      <w:r>
        <w:rPr>
          <w:rFonts w:hint="eastAsia" w:ascii="宋体" w:hAnsi="宋体" w:cs="宋体"/>
          <w:b/>
          <w:bCs/>
        </w:rPr>
        <w:t>15.投标函和开标一览表</w:t>
      </w:r>
    </w:p>
    <w:p>
      <w:pPr>
        <w:pStyle w:val="31"/>
        <w:rPr>
          <w:rFonts w:ascii="宋体" w:hAnsi="宋体" w:cs="宋体"/>
        </w:rPr>
      </w:pPr>
      <w:r>
        <w:rPr>
          <w:rFonts w:hint="eastAsia" w:ascii="宋体" w:hAnsi="宋体" w:cs="宋体"/>
          <w:bCs/>
        </w:rPr>
        <w:t>15.1</w:t>
      </w:r>
      <w:r>
        <w:rPr>
          <w:rFonts w:hint="eastAsia" w:ascii="宋体" w:hAnsi="宋体" w:cs="宋体"/>
        </w:rPr>
        <w:t>投标人应按照招标文件中提供的格式完整、正确填写投标函、开标一览表。</w:t>
      </w:r>
    </w:p>
    <w:p>
      <w:pPr>
        <w:pStyle w:val="31"/>
        <w:rPr>
          <w:rFonts w:ascii="宋体" w:hAnsi="宋体" w:cs="宋体"/>
        </w:rPr>
      </w:pPr>
      <w:r>
        <w:rPr>
          <w:rFonts w:hint="eastAsia" w:ascii="宋体" w:hAnsi="宋体" w:cs="宋体"/>
          <w:bCs/>
        </w:rPr>
        <w:t>15.2开标一览表中的价格应与投标文件中投标配置与分项报价表中的价格一致，如不一致，评标时按开标一览表中价格为准</w:t>
      </w:r>
      <w:r>
        <w:rPr>
          <w:rFonts w:hint="eastAsia" w:ascii="宋体" w:hAnsi="宋体" w:cs="宋体"/>
          <w:b/>
          <w:bCs/>
        </w:rPr>
        <w:t>。</w:t>
      </w:r>
    </w:p>
    <w:p>
      <w:pPr>
        <w:pStyle w:val="31"/>
        <w:rPr>
          <w:rFonts w:ascii="宋体" w:hAnsi="宋体" w:cs="宋体"/>
          <w:i/>
          <w:color w:val="FF0000"/>
          <w:u w:val="single"/>
        </w:rPr>
      </w:pPr>
      <w:r>
        <w:rPr>
          <w:rFonts w:hint="eastAsia" w:ascii="宋体" w:hAnsi="宋体" w:cs="宋体"/>
          <w:bCs/>
          <w:color w:val="FF0000"/>
        </w:rPr>
        <w:t>15.3</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31"/>
        <w:rPr>
          <w:rFonts w:ascii="宋体" w:hAnsi="宋体" w:cs="宋体"/>
          <w:b/>
          <w:bCs/>
        </w:rPr>
      </w:pPr>
      <w:r>
        <w:rPr>
          <w:rFonts w:hint="eastAsia" w:ascii="宋体" w:hAnsi="宋体" w:cs="宋体"/>
          <w:b/>
          <w:bCs/>
        </w:rPr>
        <w:t>16.投标保证金</w:t>
      </w:r>
      <w:bookmarkEnd w:id="96"/>
      <w:bookmarkEnd w:id="97"/>
    </w:p>
    <w:p>
      <w:pPr>
        <w:pStyle w:val="31"/>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31"/>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31"/>
        <w:rPr>
          <w:rFonts w:ascii="宋体" w:hAnsi="宋体" w:cs="宋体"/>
          <w:bCs/>
        </w:rPr>
      </w:pPr>
      <w:r>
        <w:rPr>
          <w:rFonts w:hint="eastAsia" w:ascii="宋体" w:hAnsi="宋体" w:cs="宋体"/>
        </w:rPr>
        <w:t>16.3</w:t>
      </w:r>
      <w:r>
        <w:rPr>
          <w:rFonts w:hint="eastAsia" w:ascii="宋体" w:hAnsi="宋体" w:cs="宋体"/>
          <w:bCs/>
        </w:rPr>
        <w:t>下列任何情况发生时，投标保证金将不予退还：</w:t>
      </w:r>
    </w:p>
    <w:p>
      <w:pPr>
        <w:pStyle w:val="31"/>
        <w:rPr>
          <w:rFonts w:ascii="宋体" w:hAnsi="宋体" w:cs="宋体"/>
          <w:bCs/>
        </w:rPr>
      </w:pPr>
      <w:r>
        <w:rPr>
          <w:rFonts w:hint="eastAsia" w:ascii="宋体" w:hAnsi="宋体" w:cs="宋体"/>
          <w:bCs/>
        </w:rPr>
        <w:t>（1）投标人在投标有效期内撤回其投标；</w:t>
      </w:r>
    </w:p>
    <w:p>
      <w:pPr>
        <w:pStyle w:val="31"/>
        <w:rPr>
          <w:rFonts w:ascii="宋体" w:hAnsi="宋体" w:cs="宋体"/>
          <w:bCs/>
        </w:rPr>
      </w:pPr>
      <w:r>
        <w:rPr>
          <w:rFonts w:hint="eastAsia" w:ascii="宋体" w:hAnsi="宋体" w:cs="宋体"/>
          <w:bCs/>
        </w:rPr>
        <w:t>（2）投标人提供的有关资料、资格证明文件被确认是不真实的；</w:t>
      </w:r>
    </w:p>
    <w:p>
      <w:pPr>
        <w:pStyle w:val="31"/>
        <w:rPr>
          <w:rFonts w:ascii="宋体" w:hAnsi="宋体" w:cs="宋体"/>
        </w:rPr>
      </w:pPr>
      <w:r>
        <w:rPr>
          <w:rFonts w:hint="eastAsia" w:ascii="宋体" w:hAnsi="宋体" w:cs="宋体"/>
        </w:rPr>
        <w:t>（3）投标人之间被证实有串通（统一哄抬价格）、欺诈行为；</w:t>
      </w:r>
    </w:p>
    <w:p>
      <w:pPr>
        <w:pStyle w:val="31"/>
        <w:rPr>
          <w:rFonts w:ascii="宋体" w:hAnsi="宋体" w:cs="宋体"/>
        </w:rPr>
      </w:pPr>
      <w:r>
        <w:rPr>
          <w:rFonts w:hint="eastAsia" w:ascii="宋体" w:hAnsi="宋体" w:cs="宋体"/>
        </w:rPr>
        <w:t>（4）投标人被证明有妨碍其他人公平竞争、损害采购人或者其他投标人合法权益的；</w:t>
      </w:r>
    </w:p>
    <w:p>
      <w:pPr>
        <w:pStyle w:val="31"/>
        <w:rPr>
          <w:rFonts w:ascii="宋体" w:hAnsi="宋体" w:cs="宋体"/>
          <w:b/>
          <w:bCs/>
        </w:rPr>
      </w:pPr>
      <w:bookmarkStart w:id="98" w:name="_Hlt26954739"/>
      <w:bookmarkEnd w:id="98"/>
      <w:bookmarkStart w:id="99" w:name="_Hlt26670489"/>
      <w:bookmarkEnd w:id="99"/>
      <w:bookmarkStart w:id="100" w:name="_Hlt26954850"/>
      <w:bookmarkEnd w:id="100"/>
      <w:bookmarkStart w:id="101" w:name="_Hlt26954852"/>
      <w:bookmarkEnd w:id="101"/>
      <w:bookmarkStart w:id="102" w:name="_Hlt26954734"/>
      <w:bookmarkEnd w:id="102"/>
      <w:bookmarkStart w:id="103" w:name="_Toc49090512"/>
      <w:bookmarkStart w:id="104" w:name="_Toc14577361"/>
      <w:r>
        <w:rPr>
          <w:rFonts w:hint="eastAsia" w:ascii="宋体" w:hAnsi="宋体" w:cs="宋体"/>
          <w:b/>
          <w:bCs/>
        </w:rPr>
        <w:t>17.投标文件份数和签署</w:t>
      </w:r>
      <w:bookmarkEnd w:id="103"/>
      <w:bookmarkEnd w:id="104"/>
    </w:p>
    <w:p>
      <w:pPr>
        <w:pStyle w:val="31"/>
        <w:rPr>
          <w:rFonts w:ascii="宋体" w:hAnsi="宋体" w:cs="宋体"/>
          <w:bCs/>
        </w:rPr>
      </w:pPr>
      <w:r>
        <w:rPr>
          <w:rFonts w:hint="eastAsia" w:ascii="宋体" w:hAnsi="宋体" w:cs="宋体"/>
        </w:rPr>
        <w:t>17.1</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31"/>
        <w:rPr>
          <w:rFonts w:ascii="宋体" w:hAnsi="宋体" w:cs="宋体"/>
        </w:rPr>
      </w:pPr>
      <w:r>
        <w:rPr>
          <w:rFonts w:hint="eastAsia" w:ascii="宋体" w:hAnsi="宋体" w:cs="宋体"/>
        </w:rPr>
        <w:t>17.2投标文件的正本须经法定代表人或授权代表签署和加盖投标人公章。</w:t>
      </w:r>
    </w:p>
    <w:p>
      <w:pPr>
        <w:pStyle w:val="31"/>
        <w:rPr>
          <w:rFonts w:ascii="宋体" w:hAnsi="宋体" w:cs="宋体"/>
          <w:b/>
        </w:rPr>
      </w:pPr>
      <w:bookmarkStart w:id="105" w:name="_Toc16938540"/>
      <w:bookmarkStart w:id="106" w:name="_Toc20823296"/>
      <w:bookmarkStart w:id="107" w:name="_Toc517190885"/>
      <w:bookmarkStart w:id="108" w:name="_Toc513029224"/>
      <w:bookmarkStart w:id="109" w:name="_Toc120614217"/>
      <w:r>
        <w:rPr>
          <w:rFonts w:hint="eastAsia" w:ascii="宋体" w:hAnsi="宋体" w:cs="宋体"/>
          <w:b/>
        </w:rPr>
        <w:t>四、投标文件的递交</w:t>
      </w:r>
      <w:bookmarkEnd w:id="105"/>
      <w:bookmarkEnd w:id="106"/>
      <w:bookmarkEnd w:id="107"/>
      <w:bookmarkEnd w:id="108"/>
      <w:bookmarkEnd w:id="109"/>
    </w:p>
    <w:p>
      <w:pPr>
        <w:pStyle w:val="31"/>
        <w:rPr>
          <w:rFonts w:ascii="宋体" w:hAnsi="宋体" w:cs="宋体"/>
          <w:b/>
          <w:bCs/>
        </w:rPr>
      </w:pPr>
      <w:bookmarkStart w:id="110" w:name="_Toc20823297"/>
      <w:bookmarkStart w:id="111" w:name="_Toc16938541"/>
      <w:bookmarkStart w:id="112" w:name="_Toc462564084"/>
      <w:bookmarkStart w:id="113" w:name="_Toc513029225"/>
      <w:r>
        <w:rPr>
          <w:rFonts w:hint="eastAsia" w:ascii="宋体" w:hAnsi="宋体" w:cs="宋体"/>
          <w:b/>
          <w:bCs/>
        </w:rPr>
        <w:t>18.投标文件的密封和标记</w:t>
      </w:r>
      <w:bookmarkEnd w:id="110"/>
      <w:bookmarkEnd w:id="111"/>
      <w:bookmarkEnd w:id="112"/>
      <w:bookmarkEnd w:id="113"/>
    </w:p>
    <w:p>
      <w:pPr>
        <w:pStyle w:val="31"/>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31"/>
        <w:rPr>
          <w:rFonts w:ascii="宋体" w:hAnsi="宋体" w:cs="宋体"/>
          <w:bCs/>
        </w:rPr>
      </w:pPr>
      <w:r>
        <w:rPr>
          <w:rFonts w:hint="eastAsia" w:ascii="宋体" w:hAnsi="宋体" w:cs="宋体"/>
        </w:rPr>
        <w:t>18.2</w:t>
      </w:r>
      <w:r>
        <w:rPr>
          <w:rFonts w:hint="eastAsia" w:ascii="宋体" w:hAnsi="宋体" w:cs="宋体"/>
          <w:bCs/>
        </w:rPr>
        <w:t>密封的投标文件应：</w:t>
      </w:r>
    </w:p>
    <w:p>
      <w:pPr>
        <w:pStyle w:val="31"/>
        <w:rPr>
          <w:rFonts w:ascii="宋体" w:hAnsi="宋体" w:cs="宋体"/>
          <w:bCs/>
        </w:rPr>
      </w:pPr>
      <w:r>
        <w:rPr>
          <w:rFonts w:hint="eastAsia" w:ascii="宋体" w:hAnsi="宋体" w:cs="宋体"/>
          <w:bCs/>
        </w:rPr>
        <w:t>（1）注明投标人名称，如因标注不清而产生的后果由投标人自负。</w:t>
      </w:r>
    </w:p>
    <w:p>
      <w:pPr>
        <w:pStyle w:val="31"/>
        <w:rPr>
          <w:rFonts w:ascii="宋体" w:hAnsi="宋体" w:cs="宋体"/>
          <w:bCs/>
        </w:rPr>
      </w:pPr>
      <w:r>
        <w:rPr>
          <w:rFonts w:hint="eastAsia" w:ascii="宋体" w:hAnsi="宋体" w:cs="宋体"/>
          <w:bCs/>
        </w:rPr>
        <w:t>（2）注明投标项目名称、标书编号及包号。</w:t>
      </w:r>
    </w:p>
    <w:p>
      <w:pPr>
        <w:pStyle w:val="31"/>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31"/>
        <w:rPr>
          <w:rFonts w:ascii="宋体" w:hAnsi="宋体" w:cs="宋体"/>
          <w:b/>
          <w:bCs/>
        </w:rPr>
      </w:pPr>
      <w:bookmarkStart w:id="114" w:name="_Toc513029226"/>
      <w:bookmarkStart w:id="115" w:name="_Toc20823298"/>
      <w:bookmarkStart w:id="116" w:name="_Toc16938542"/>
      <w:r>
        <w:rPr>
          <w:rFonts w:hint="eastAsia" w:ascii="宋体" w:hAnsi="宋体" w:cs="宋体"/>
          <w:b/>
          <w:bCs/>
        </w:rPr>
        <w:t>19.投标截止</w:t>
      </w:r>
      <w:bookmarkEnd w:id="114"/>
      <w:bookmarkEnd w:id="115"/>
      <w:bookmarkEnd w:id="116"/>
      <w:r>
        <w:rPr>
          <w:rFonts w:hint="eastAsia" w:ascii="宋体" w:hAnsi="宋体" w:cs="宋体"/>
          <w:b/>
          <w:bCs/>
        </w:rPr>
        <w:t>时间</w:t>
      </w:r>
    </w:p>
    <w:p>
      <w:pPr>
        <w:pStyle w:val="31"/>
        <w:rPr>
          <w:rFonts w:ascii="宋体" w:hAnsi="宋体" w:cs="宋体"/>
          <w:bCs/>
        </w:rPr>
      </w:pPr>
      <w:r>
        <w:rPr>
          <w:rFonts w:hint="eastAsia" w:ascii="宋体" w:hAnsi="宋体" w:cs="宋体"/>
        </w:rPr>
        <w:t>19.1</w:t>
      </w:r>
      <w:r>
        <w:rPr>
          <w:rFonts w:hint="eastAsia" w:ascii="宋体" w:hAnsi="宋体" w:cs="宋体"/>
          <w:bCs/>
        </w:rPr>
        <w:t>采购人收到投标文件的时间不得迟于招标公告中规定的截止时间。</w:t>
      </w:r>
    </w:p>
    <w:p>
      <w:pPr>
        <w:pStyle w:val="31"/>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31"/>
        <w:rPr>
          <w:rFonts w:ascii="宋体" w:hAnsi="宋体" w:cs="宋体"/>
          <w:b/>
          <w:bCs/>
        </w:rPr>
      </w:pPr>
      <w:bookmarkStart w:id="117" w:name="_Toc16938543"/>
      <w:bookmarkStart w:id="118" w:name="_Toc20823299"/>
      <w:bookmarkStart w:id="119" w:name="_Toc513029227"/>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31"/>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31"/>
        <w:rPr>
          <w:rFonts w:ascii="宋体" w:hAnsi="宋体" w:cs="宋体"/>
          <w:bCs/>
        </w:rPr>
      </w:pPr>
      <w:r>
        <w:rPr>
          <w:rFonts w:hint="eastAsia" w:ascii="宋体" w:hAnsi="宋体" w:cs="宋体"/>
          <w:bCs/>
        </w:rPr>
        <w:t>20.2未按照招标文件要求的格式编制的投标文件，后果由投标人承担。</w:t>
      </w:r>
    </w:p>
    <w:p>
      <w:pPr>
        <w:pStyle w:val="31"/>
        <w:rPr>
          <w:rFonts w:ascii="宋体" w:hAnsi="宋体" w:cs="宋体"/>
          <w:b/>
          <w:bCs/>
        </w:rPr>
      </w:pPr>
      <w:bookmarkStart w:id="120" w:name="_Toc513029228"/>
      <w:bookmarkStart w:id="121" w:name="_Toc20823300"/>
      <w:bookmarkStart w:id="122" w:name="_Toc16938544"/>
      <w:r>
        <w:rPr>
          <w:rFonts w:hint="eastAsia" w:ascii="宋体" w:hAnsi="宋体" w:cs="宋体"/>
          <w:b/>
          <w:bCs/>
        </w:rPr>
        <w:t>21.投标文件的修改和撤回</w:t>
      </w:r>
      <w:bookmarkEnd w:id="120"/>
      <w:bookmarkEnd w:id="121"/>
      <w:bookmarkEnd w:id="122"/>
    </w:p>
    <w:p>
      <w:pPr>
        <w:pStyle w:val="31"/>
        <w:rPr>
          <w:rFonts w:ascii="宋体" w:hAnsi="宋体" w:cs="宋体"/>
        </w:rPr>
      </w:pPr>
      <w:r>
        <w:rPr>
          <w:rFonts w:hint="eastAsia" w:ascii="宋体" w:hAnsi="宋体" w:cs="宋体"/>
        </w:rPr>
        <w:t>21.1</w:t>
      </w:r>
      <w:r>
        <w:rPr>
          <w:rFonts w:hint="eastAsia" w:ascii="宋体" w:hAnsi="宋体" w:cs="宋体"/>
          <w:bCs/>
        </w:rPr>
        <w:t>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31"/>
        <w:rPr>
          <w:rFonts w:ascii="宋体" w:hAnsi="宋体" w:cs="宋体"/>
        </w:rPr>
      </w:pPr>
      <w:r>
        <w:rPr>
          <w:rFonts w:hint="eastAsia" w:ascii="宋体" w:hAnsi="宋体" w:cs="宋体"/>
        </w:rPr>
        <w:t>21.2</w:t>
      </w:r>
      <w:r>
        <w:rPr>
          <w:rFonts w:hint="eastAsia" w:ascii="宋体" w:hAnsi="宋体" w:cs="宋体"/>
          <w:bCs/>
        </w:rPr>
        <w:t>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31"/>
        <w:rPr>
          <w:rFonts w:ascii="宋体" w:hAnsi="宋体" w:cs="宋体"/>
          <w:bCs/>
        </w:rPr>
      </w:pPr>
      <w:r>
        <w:rPr>
          <w:rFonts w:hint="eastAsia" w:ascii="宋体" w:hAnsi="宋体" w:cs="宋体"/>
        </w:rPr>
        <w:t>21.3</w:t>
      </w:r>
      <w:r>
        <w:rPr>
          <w:rFonts w:hint="eastAsia" w:ascii="宋体" w:hAnsi="宋体" w:cs="宋体"/>
          <w:bCs/>
        </w:rPr>
        <w:t>在投标截止时间之后，投标人不得对其投标文件作任何修改。</w:t>
      </w:r>
    </w:p>
    <w:p>
      <w:pPr>
        <w:pStyle w:val="31"/>
        <w:rPr>
          <w:rFonts w:ascii="宋体" w:hAnsi="宋体" w:cs="宋体"/>
          <w:bCs/>
        </w:rPr>
      </w:pPr>
      <w:r>
        <w:rPr>
          <w:rFonts w:hint="eastAsia" w:ascii="宋体" w:hAnsi="宋体" w:cs="宋体"/>
        </w:rPr>
        <w:t>21.4</w:t>
      </w:r>
      <w:r>
        <w:rPr>
          <w:rFonts w:hint="eastAsia" w:ascii="宋体" w:hAnsi="宋体" w:cs="宋体"/>
          <w:bCs/>
        </w:rPr>
        <w:t>在投标截止时间至招标文件中规定的投标有效期满之间的这段时间内，投标人不得撤回其投标，否则其投标保证金将不予退还。</w:t>
      </w:r>
    </w:p>
    <w:p>
      <w:pPr>
        <w:pStyle w:val="31"/>
        <w:rPr>
          <w:rFonts w:ascii="宋体" w:hAnsi="宋体" w:cs="宋体"/>
          <w:b/>
        </w:rPr>
      </w:pPr>
      <w:bookmarkStart w:id="123" w:name="_Toc517190886"/>
      <w:bookmarkStart w:id="124" w:name="_Toc513029229"/>
      <w:bookmarkStart w:id="125" w:name="_Toc20823301"/>
      <w:bookmarkStart w:id="126" w:name="_Toc120614218"/>
      <w:bookmarkStart w:id="127" w:name="_Toc16938545"/>
      <w:r>
        <w:rPr>
          <w:rFonts w:hint="eastAsia" w:ascii="宋体" w:hAnsi="宋体" w:cs="宋体"/>
          <w:b/>
        </w:rPr>
        <w:t>五、开标与评标</w:t>
      </w:r>
      <w:bookmarkEnd w:id="123"/>
      <w:bookmarkEnd w:id="124"/>
      <w:bookmarkEnd w:id="125"/>
      <w:bookmarkEnd w:id="126"/>
      <w:bookmarkEnd w:id="127"/>
    </w:p>
    <w:p>
      <w:pPr>
        <w:pStyle w:val="31"/>
        <w:rPr>
          <w:rFonts w:ascii="宋体" w:hAnsi="宋体" w:cs="宋体"/>
          <w:b/>
          <w:bCs/>
        </w:rPr>
      </w:pPr>
      <w:bookmarkStart w:id="128" w:name="_Toc16938546"/>
      <w:bookmarkStart w:id="129" w:name="_Toc20823302"/>
      <w:bookmarkStart w:id="130" w:name="_Toc513029230"/>
      <w:r>
        <w:rPr>
          <w:rFonts w:hint="eastAsia" w:ascii="宋体" w:hAnsi="宋体" w:cs="宋体"/>
          <w:b/>
          <w:bCs/>
        </w:rPr>
        <w:t>22.开标</w:t>
      </w:r>
      <w:bookmarkEnd w:id="128"/>
      <w:bookmarkEnd w:id="129"/>
      <w:bookmarkEnd w:id="130"/>
    </w:p>
    <w:p>
      <w:pPr>
        <w:pStyle w:val="31"/>
        <w:rPr>
          <w:rFonts w:ascii="宋体" w:hAnsi="宋体" w:cs="宋体"/>
        </w:rPr>
      </w:pPr>
      <w:r>
        <w:rPr>
          <w:rFonts w:hint="eastAsia" w:ascii="宋体" w:hAnsi="宋体" w:cs="宋体"/>
        </w:rPr>
        <w:t>22.1</w:t>
      </w:r>
      <w:r>
        <w:rPr>
          <w:rFonts w:hint="eastAsia" w:ascii="宋体" w:hAnsi="宋体" w:cs="宋体"/>
          <w:bCs/>
        </w:rPr>
        <w:t>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31"/>
        <w:rPr>
          <w:rFonts w:ascii="宋体" w:hAnsi="宋体" w:cs="宋体"/>
          <w:bCs/>
        </w:rPr>
      </w:pPr>
      <w:r>
        <w:rPr>
          <w:rFonts w:hint="eastAsia" w:ascii="宋体" w:hAnsi="宋体" w:cs="宋体"/>
        </w:rPr>
        <w:t>22.2</w:t>
      </w:r>
      <w:r>
        <w:rPr>
          <w:rFonts w:hint="eastAsia" w:ascii="宋体" w:hAnsi="宋体" w:cs="宋体"/>
          <w:bCs/>
        </w:rPr>
        <w:t>按照规定同意撤回的投标将不予开封。</w:t>
      </w:r>
    </w:p>
    <w:p>
      <w:pPr>
        <w:pStyle w:val="31"/>
        <w:rPr>
          <w:rFonts w:ascii="宋体" w:hAnsi="宋体" w:cs="宋体"/>
        </w:rPr>
      </w:pPr>
      <w:r>
        <w:rPr>
          <w:rFonts w:hint="eastAsia" w:ascii="宋体" w:hAnsi="宋体" w:cs="宋体"/>
        </w:rPr>
        <w:t>22.3开标时由投标人推选的代表查验投标文件密封情况，确认无误后，采购人当众拆封宣读每份投标文件中“开标一览表”的内容，未列入开标一览表的内容一律不在开标时宣读。</w:t>
      </w:r>
    </w:p>
    <w:p>
      <w:pPr>
        <w:pStyle w:val="31"/>
        <w:rPr>
          <w:rFonts w:ascii="宋体" w:hAnsi="宋体" w:cs="宋体"/>
        </w:rPr>
      </w:pPr>
      <w:r>
        <w:rPr>
          <w:rFonts w:hint="eastAsia" w:ascii="宋体" w:hAnsi="宋体" w:cs="宋体"/>
        </w:rPr>
        <w:t>22.4采购人将指定专人负责开标记录并存档备查，各投标人需仔细核对开标记录相关内容并签字确认。</w:t>
      </w:r>
    </w:p>
    <w:p>
      <w:pPr>
        <w:pStyle w:val="31"/>
        <w:rPr>
          <w:rFonts w:ascii="宋体" w:hAnsi="宋体" w:cs="宋体"/>
        </w:rPr>
      </w:pPr>
      <w:r>
        <w:rPr>
          <w:rFonts w:hint="eastAsia" w:ascii="宋体" w:hAnsi="宋体" w:cs="宋体"/>
        </w:rPr>
        <w:t>22.5投标人在报价时不允许采用选择性报价，否则将被视为无效投标。</w:t>
      </w:r>
    </w:p>
    <w:p>
      <w:pPr>
        <w:pStyle w:val="31"/>
        <w:rPr>
          <w:rFonts w:ascii="宋体" w:hAnsi="宋体" w:cs="宋体"/>
          <w:bCs/>
        </w:rPr>
      </w:pPr>
      <w:r>
        <w:rPr>
          <w:rFonts w:hint="eastAsia" w:ascii="宋体" w:hAnsi="宋体" w:cs="宋体"/>
          <w:bCs/>
        </w:rPr>
        <w:t>22.6投标截止时间结束后参加投标的供应商不足三家的，不得开标。</w:t>
      </w:r>
    </w:p>
    <w:p>
      <w:pPr>
        <w:pStyle w:val="31"/>
        <w:rPr>
          <w:rFonts w:ascii="宋体" w:hAnsi="宋体" w:cs="宋体"/>
          <w:b/>
          <w:bCs/>
        </w:rPr>
      </w:pPr>
      <w:bookmarkStart w:id="131" w:name="_Toc513029231"/>
      <w:bookmarkStart w:id="132" w:name="_Toc16938547"/>
      <w:bookmarkStart w:id="133" w:name="_Toc20823303"/>
      <w:r>
        <w:rPr>
          <w:rFonts w:hint="eastAsia" w:ascii="宋体" w:hAnsi="宋体" w:cs="宋体"/>
          <w:b/>
          <w:bCs/>
        </w:rPr>
        <w:t>23.评标</w:t>
      </w:r>
    </w:p>
    <w:p>
      <w:pPr>
        <w:pStyle w:val="31"/>
        <w:rPr>
          <w:rFonts w:ascii="宋体" w:hAnsi="宋体" w:cs="宋体"/>
          <w:b/>
        </w:rPr>
      </w:pPr>
      <w:r>
        <w:rPr>
          <w:rFonts w:hint="eastAsia" w:ascii="宋体" w:hAnsi="宋体" w:cs="宋体"/>
        </w:rPr>
        <w:t>23.1开标后，采购人将组织评标委员会（以下简称评委会）进行评标。</w:t>
      </w:r>
    </w:p>
    <w:p>
      <w:pPr>
        <w:pStyle w:val="31"/>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31"/>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31"/>
        <w:rPr>
          <w:rFonts w:ascii="宋体" w:hAnsi="宋体" w:cs="宋体"/>
          <w:b/>
          <w:bCs/>
        </w:rPr>
      </w:pPr>
      <w:bookmarkStart w:id="134" w:name="_Toc16938548"/>
      <w:bookmarkStart w:id="135" w:name="_Toc513029232"/>
      <w:bookmarkStart w:id="136" w:name="_Toc20823304"/>
      <w:r>
        <w:rPr>
          <w:rFonts w:hint="eastAsia" w:ascii="宋体" w:hAnsi="宋体" w:cs="宋体"/>
          <w:b/>
          <w:bCs/>
        </w:rPr>
        <w:t>24.投标的澄清</w:t>
      </w:r>
      <w:bookmarkEnd w:id="134"/>
      <w:bookmarkEnd w:id="135"/>
      <w:bookmarkEnd w:id="136"/>
    </w:p>
    <w:p>
      <w:pPr>
        <w:pStyle w:val="31"/>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31"/>
        <w:rPr>
          <w:rFonts w:ascii="宋体" w:hAnsi="宋体" w:cs="宋体"/>
        </w:rPr>
      </w:pPr>
      <w:r>
        <w:rPr>
          <w:rFonts w:hint="eastAsia" w:ascii="宋体" w:hAnsi="宋体" w:cs="宋体"/>
        </w:rPr>
        <w:t>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1"/>
        <w:rPr>
          <w:rFonts w:ascii="宋体" w:hAnsi="宋体" w:cs="宋体"/>
        </w:rPr>
      </w:pPr>
      <w:r>
        <w:rPr>
          <w:rFonts w:hint="eastAsia" w:ascii="宋体" w:hAnsi="宋体" w:cs="宋体"/>
        </w:rPr>
        <w:t>24.3接到评委会澄清要求的投标人如未按规定做出澄清，后果由投标人自行承担。</w:t>
      </w:r>
    </w:p>
    <w:p>
      <w:pPr>
        <w:pStyle w:val="31"/>
        <w:rPr>
          <w:rFonts w:ascii="宋体" w:hAnsi="宋体" w:cs="宋体"/>
          <w:b/>
          <w:bCs/>
        </w:rPr>
      </w:pPr>
      <w:bookmarkStart w:id="137" w:name="_Toc20823306"/>
      <w:bookmarkStart w:id="138" w:name="_Toc513029234"/>
      <w:bookmarkStart w:id="139" w:name="_Toc16938550"/>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31"/>
        <w:rPr>
          <w:rFonts w:ascii="宋体" w:hAnsi="宋体" w:cs="宋体"/>
          <w:bCs/>
        </w:rPr>
      </w:pPr>
      <w:bookmarkStart w:id="140" w:name="_Toc513029235"/>
      <w:bookmarkStart w:id="141" w:name="_Toc16938551"/>
      <w:bookmarkStart w:id="142" w:name="_Toc20823307"/>
      <w:r>
        <w:rPr>
          <w:rFonts w:hint="eastAsia" w:ascii="宋体" w:hAnsi="宋体" w:cs="宋体"/>
          <w:bCs/>
        </w:rPr>
        <w:t>25.1无效投标条款</w:t>
      </w:r>
    </w:p>
    <w:p>
      <w:pPr>
        <w:pStyle w:val="31"/>
        <w:rPr>
          <w:rFonts w:ascii="宋体" w:hAnsi="宋体" w:cs="宋体"/>
          <w:bCs/>
        </w:rPr>
      </w:pPr>
      <w:r>
        <w:rPr>
          <w:rFonts w:hint="eastAsia" w:ascii="宋体" w:hAnsi="宋体" w:cs="宋体"/>
          <w:bCs/>
        </w:rPr>
        <w:t>（1）未按要求交纳投标保证金的。</w:t>
      </w:r>
    </w:p>
    <w:p>
      <w:pPr>
        <w:pStyle w:val="31"/>
        <w:rPr>
          <w:rFonts w:ascii="宋体" w:hAnsi="宋体" w:cs="宋体"/>
          <w:bCs/>
        </w:rPr>
      </w:pPr>
      <w:r>
        <w:rPr>
          <w:rFonts w:hint="eastAsia" w:ascii="宋体" w:hAnsi="宋体" w:cs="宋体"/>
          <w:bCs/>
        </w:rPr>
        <w:t>（2）未按照招标文件规定要求密封、签署、盖章的。</w:t>
      </w:r>
    </w:p>
    <w:p>
      <w:pPr>
        <w:pStyle w:val="31"/>
        <w:rPr>
          <w:rFonts w:ascii="宋体" w:hAnsi="宋体" w:cs="宋体"/>
          <w:bCs/>
        </w:rPr>
      </w:pPr>
      <w:r>
        <w:rPr>
          <w:rFonts w:hint="eastAsia" w:ascii="宋体" w:hAnsi="宋体" w:cs="宋体"/>
          <w:bCs/>
        </w:rPr>
        <w:t>（3）投标人在报价时采用选择性报价的。</w:t>
      </w:r>
    </w:p>
    <w:p>
      <w:pPr>
        <w:pStyle w:val="31"/>
        <w:rPr>
          <w:rFonts w:ascii="宋体" w:hAnsi="宋体" w:cs="宋体"/>
          <w:bCs/>
        </w:rPr>
      </w:pPr>
      <w:r>
        <w:rPr>
          <w:rFonts w:hint="eastAsia" w:ascii="宋体" w:hAnsi="宋体" w:cs="宋体"/>
          <w:bCs/>
        </w:rPr>
        <w:t>（4）投标人不具备招标文件中规定资格要求的。</w:t>
      </w:r>
    </w:p>
    <w:p>
      <w:pPr>
        <w:pStyle w:val="31"/>
        <w:rPr>
          <w:rFonts w:ascii="宋体" w:hAnsi="宋体" w:cs="宋体"/>
          <w:bCs/>
        </w:rPr>
      </w:pPr>
      <w:r>
        <w:rPr>
          <w:rFonts w:hint="eastAsia" w:ascii="宋体" w:hAnsi="宋体" w:cs="宋体"/>
          <w:bCs/>
        </w:rPr>
        <w:t>（5）投标人的报价超过了采购预算或最高限价的。</w:t>
      </w:r>
    </w:p>
    <w:p>
      <w:pPr>
        <w:pStyle w:val="31"/>
        <w:rPr>
          <w:rFonts w:ascii="宋体" w:hAnsi="宋体" w:cs="宋体"/>
          <w:bCs/>
          <w:i/>
          <w:u w:val="single"/>
        </w:rPr>
      </w:pPr>
      <w:r>
        <w:rPr>
          <w:rFonts w:hint="eastAsia" w:ascii="宋体" w:hAnsi="宋体" w:cs="宋体"/>
          <w:bCs/>
        </w:rPr>
        <w:t>（6）未通过符合性检查的。</w:t>
      </w:r>
    </w:p>
    <w:p>
      <w:pPr>
        <w:pStyle w:val="31"/>
        <w:rPr>
          <w:rFonts w:ascii="宋体" w:hAnsi="宋体" w:cs="宋体"/>
          <w:bCs/>
          <w:i/>
          <w:u w:val="single"/>
        </w:rPr>
      </w:pPr>
      <w:r>
        <w:rPr>
          <w:rFonts w:hint="eastAsia" w:ascii="宋体" w:hAnsi="宋体" w:cs="宋体"/>
          <w:bCs/>
        </w:rPr>
        <w:t>（7）不符合招标文件中规定的其他实质性要求和条件的。</w:t>
      </w:r>
    </w:p>
    <w:p>
      <w:pPr>
        <w:pStyle w:val="31"/>
        <w:rPr>
          <w:rFonts w:ascii="宋体" w:hAnsi="宋体" w:cs="宋体"/>
          <w:bCs/>
        </w:rPr>
      </w:pPr>
      <w:r>
        <w:rPr>
          <w:rFonts w:hint="eastAsia" w:ascii="宋体" w:hAnsi="宋体" w:cs="宋体"/>
          <w:bCs/>
        </w:rPr>
        <w:t>（8）投标人被“信用中国”网站（www.creditchina.gov.cn）列入失信被执行人或重大税收违法案件当事人名单或政府采购严重失信行为记录名单。</w:t>
      </w:r>
    </w:p>
    <w:p>
      <w:pPr>
        <w:pStyle w:val="31"/>
        <w:rPr>
          <w:rFonts w:ascii="宋体" w:hAnsi="宋体" w:cs="宋体"/>
          <w:bCs/>
        </w:rPr>
      </w:pPr>
      <w:r>
        <w:rPr>
          <w:rFonts w:hint="eastAsia" w:ascii="宋体" w:hAnsi="宋体" w:cs="宋体"/>
          <w:bCs/>
        </w:rPr>
        <w:t>（9）投标文件含有采购人不能接受的附加条件的。</w:t>
      </w:r>
    </w:p>
    <w:p>
      <w:pPr>
        <w:pStyle w:val="31"/>
        <w:rPr>
          <w:rFonts w:ascii="宋体" w:hAnsi="宋体" w:cs="宋体"/>
          <w:bCs/>
        </w:rPr>
      </w:pPr>
      <w:r>
        <w:rPr>
          <w:rFonts w:hint="eastAsia" w:ascii="宋体" w:hAnsi="宋体" w:cs="宋体"/>
          <w:bCs/>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rPr>
          <w:rFonts w:ascii="宋体" w:hAnsi="宋体" w:cs="宋体"/>
          <w:bCs/>
        </w:rPr>
      </w:pPr>
      <w:r>
        <w:rPr>
          <w:rFonts w:hint="eastAsia" w:ascii="宋体" w:hAnsi="宋体" w:cs="宋体"/>
          <w:bCs/>
        </w:rPr>
        <w:t>（11）其他法律、法规及本招标文件规定的属无效投标的情形。</w:t>
      </w:r>
    </w:p>
    <w:p>
      <w:pPr>
        <w:pStyle w:val="31"/>
        <w:rPr>
          <w:rFonts w:ascii="宋体" w:hAnsi="宋体" w:cs="宋体"/>
          <w:bCs/>
        </w:rPr>
      </w:pPr>
      <w:r>
        <w:rPr>
          <w:rFonts w:hint="eastAsia" w:ascii="宋体" w:hAnsi="宋体" w:cs="宋体"/>
          <w:bCs/>
        </w:rPr>
        <w:t>25.2废标条款：</w:t>
      </w:r>
    </w:p>
    <w:p>
      <w:pPr>
        <w:pStyle w:val="31"/>
        <w:rPr>
          <w:rFonts w:ascii="宋体" w:hAnsi="宋体" w:cs="宋体"/>
          <w:bCs/>
        </w:rPr>
      </w:pPr>
      <w:r>
        <w:rPr>
          <w:rFonts w:hint="eastAsia" w:ascii="宋体" w:hAnsi="宋体" w:cs="宋体"/>
          <w:bCs/>
        </w:rPr>
        <w:t>（1）符合专业条件的供应商或者对招标文件作实质响应的供应商不足三家的。</w:t>
      </w:r>
    </w:p>
    <w:p>
      <w:pPr>
        <w:pStyle w:val="31"/>
        <w:rPr>
          <w:rFonts w:ascii="宋体" w:hAnsi="宋体" w:cs="宋体"/>
          <w:bCs/>
        </w:rPr>
      </w:pPr>
      <w:r>
        <w:rPr>
          <w:rFonts w:hint="eastAsia" w:ascii="宋体" w:hAnsi="宋体" w:cs="宋体"/>
          <w:bCs/>
        </w:rPr>
        <w:t>（2）出现影响采购公正的违法、违规行为的。</w:t>
      </w:r>
    </w:p>
    <w:p>
      <w:pPr>
        <w:pStyle w:val="31"/>
        <w:rPr>
          <w:rFonts w:ascii="宋体" w:hAnsi="宋体" w:cs="宋体"/>
          <w:bCs/>
        </w:rPr>
      </w:pPr>
      <w:r>
        <w:rPr>
          <w:rFonts w:hint="eastAsia" w:ascii="宋体" w:hAnsi="宋体" w:cs="宋体"/>
          <w:bCs/>
        </w:rPr>
        <w:t>（3）因重大变故，采购任务取消的。</w:t>
      </w:r>
    </w:p>
    <w:p>
      <w:pPr>
        <w:pStyle w:val="31"/>
        <w:rPr>
          <w:rFonts w:ascii="宋体" w:hAnsi="宋体" w:cs="宋体"/>
          <w:bCs/>
        </w:rPr>
      </w:pPr>
      <w:r>
        <w:rPr>
          <w:rFonts w:hint="eastAsia" w:ascii="宋体" w:hAnsi="宋体" w:cs="宋体"/>
          <w:bCs/>
        </w:rPr>
        <w:t>（4）评标委员会认定招标文件存在歧义、重大缺陷导致评审工作无法进行的。</w:t>
      </w:r>
    </w:p>
    <w:p>
      <w:pPr>
        <w:pStyle w:val="31"/>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31"/>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31"/>
        <w:rPr>
          <w:rFonts w:ascii="宋体" w:hAnsi="宋体" w:cs="宋体"/>
          <w:bCs/>
        </w:rPr>
      </w:pPr>
      <w:r>
        <w:rPr>
          <w:rFonts w:hint="eastAsia" w:ascii="宋体" w:hAnsi="宋体" w:cs="宋体"/>
          <w:bCs/>
        </w:rPr>
        <w:t>26.1评委会根据本招标文件规定评分办法与评分标准确定中标人；</w:t>
      </w:r>
    </w:p>
    <w:p>
      <w:pPr>
        <w:pStyle w:val="31"/>
        <w:rPr>
          <w:rFonts w:ascii="宋体" w:hAnsi="宋体" w:cs="宋体"/>
        </w:rPr>
      </w:pPr>
      <w:r>
        <w:rPr>
          <w:rFonts w:hint="eastAsia" w:ascii="宋体" w:hAnsi="宋体" w:cs="宋体"/>
          <w:bCs/>
        </w:rPr>
        <w:t>26.2</w:t>
      </w:r>
      <w:r>
        <w:rPr>
          <w:rFonts w:hint="eastAsia" w:ascii="宋体" w:hAnsi="宋体" w:cs="宋体"/>
        </w:rPr>
        <w:t>采购人将在“南京医科大学校园网”发布中标公告，公告期限为1个工作日。</w:t>
      </w:r>
    </w:p>
    <w:p>
      <w:pPr>
        <w:pStyle w:val="31"/>
        <w:rPr>
          <w:rFonts w:ascii="宋体" w:hAnsi="宋体" w:cs="宋体"/>
        </w:rPr>
      </w:pPr>
      <w:r>
        <w:rPr>
          <w:rFonts w:hint="eastAsia" w:ascii="宋体" w:hAnsi="宋体" w:cs="宋体"/>
        </w:rPr>
        <w:t>2</w:t>
      </w:r>
      <w:bookmarkStart w:id="148" w:name="OLE_LINK5"/>
      <w:bookmarkStart w:id="149" w:name="OLE_LINK6"/>
      <w:bookmarkStart w:id="150" w:name="OLE_LINK8"/>
      <w:bookmarkStart w:id="151" w:name="OLE_LINK7"/>
      <w:bookmarkStart w:id="152" w:name="OLE_LINK4"/>
      <w:bookmarkStart w:id="153" w:name="OLE_LINK3"/>
      <w:r>
        <w:rPr>
          <w:rFonts w:hint="eastAsia" w:ascii="宋体" w:hAnsi="宋体" w:cs="宋体"/>
        </w:rPr>
        <w:t>6.3</w:t>
      </w:r>
      <w:bookmarkEnd w:id="148"/>
      <w:bookmarkEnd w:id="149"/>
      <w:bookmarkEnd w:id="150"/>
      <w:bookmarkEnd w:id="151"/>
      <w:bookmarkEnd w:id="152"/>
      <w:bookmarkEnd w:id="153"/>
      <w:r>
        <w:rPr>
          <w:rFonts w:hint="eastAsia" w:ascii="宋体" w:hAnsi="宋体" w:cs="宋体"/>
        </w:rPr>
        <w:t>若有充分证据证明，中标人出现下列情况之一的，一经查实，将被取消中标资格：</w:t>
      </w:r>
    </w:p>
    <w:p>
      <w:pPr>
        <w:pStyle w:val="31"/>
        <w:rPr>
          <w:rFonts w:ascii="宋体" w:hAnsi="宋体" w:cs="宋体"/>
        </w:rPr>
      </w:pPr>
      <w:r>
        <w:rPr>
          <w:rFonts w:hint="eastAsia" w:ascii="宋体" w:hAnsi="宋体" w:cs="宋体"/>
        </w:rPr>
        <w:t>（1）提供虚假材料谋取中标的；</w:t>
      </w:r>
    </w:p>
    <w:p>
      <w:pPr>
        <w:pStyle w:val="31"/>
        <w:rPr>
          <w:rFonts w:ascii="宋体" w:hAnsi="宋体" w:cs="宋体"/>
        </w:rPr>
      </w:pPr>
      <w:r>
        <w:rPr>
          <w:rFonts w:hint="eastAsia" w:ascii="宋体" w:hAnsi="宋体" w:cs="宋体"/>
        </w:rPr>
        <w:t>（2）向采购人、评审专家行贿或者提供其他不正当利益的；</w:t>
      </w:r>
    </w:p>
    <w:p>
      <w:pPr>
        <w:pStyle w:val="31"/>
        <w:rPr>
          <w:rFonts w:ascii="宋体" w:hAnsi="宋体" w:cs="宋体"/>
        </w:rPr>
      </w:pPr>
      <w:r>
        <w:rPr>
          <w:rFonts w:hint="eastAsia" w:ascii="宋体" w:hAnsi="宋体" w:cs="宋体"/>
        </w:rPr>
        <w:t>（3）恶意竞争，投标总报价明显低于其自身合理成本且又无法提供证明的；</w:t>
      </w:r>
    </w:p>
    <w:p>
      <w:pPr>
        <w:pStyle w:val="31"/>
        <w:rPr>
          <w:rFonts w:ascii="宋体" w:hAnsi="宋体" w:cs="宋体"/>
        </w:rPr>
      </w:pPr>
      <w:r>
        <w:rPr>
          <w:rFonts w:hint="eastAsia" w:ascii="宋体" w:hAnsi="宋体" w:cs="宋体"/>
        </w:rPr>
        <w:t>（4）属于本文件规定的无效条件，但在评标过程中又未被评委会发现的；</w:t>
      </w:r>
    </w:p>
    <w:p>
      <w:pPr>
        <w:pStyle w:val="31"/>
        <w:rPr>
          <w:rFonts w:ascii="宋体" w:hAnsi="宋体" w:cs="宋体"/>
        </w:rPr>
      </w:pPr>
      <w:r>
        <w:rPr>
          <w:rFonts w:hint="eastAsia" w:ascii="宋体" w:hAnsi="宋体" w:cs="宋体"/>
        </w:rPr>
        <w:t>（5）与采购人或者其他供应商恶意串通的；</w:t>
      </w:r>
    </w:p>
    <w:p>
      <w:pPr>
        <w:pStyle w:val="31"/>
        <w:rPr>
          <w:rFonts w:ascii="宋体" w:hAnsi="宋体" w:cs="宋体"/>
        </w:rPr>
      </w:pPr>
      <w:r>
        <w:rPr>
          <w:rFonts w:hint="eastAsia" w:ascii="宋体" w:hAnsi="宋体" w:cs="宋体"/>
        </w:rPr>
        <w:t>（6）采取不正当手段诋毁、排挤其他供应商的；</w:t>
      </w:r>
    </w:p>
    <w:p>
      <w:pPr>
        <w:pStyle w:val="31"/>
        <w:rPr>
          <w:rFonts w:ascii="宋体" w:hAnsi="宋体" w:cs="宋体"/>
        </w:rPr>
      </w:pPr>
      <w:r>
        <w:rPr>
          <w:rFonts w:hint="eastAsia" w:ascii="宋体" w:hAnsi="宋体" w:cs="宋体"/>
        </w:rPr>
        <w:t>（7）不符合法律、法规的规定的。</w:t>
      </w:r>
      <w:bookmarkStart w:id="154" w:name="_Toc200451960"/>
    </w:p>
    <w:p>
      <w:pPr>
        <w:pStyle w:val="31"/>
        <w:rPr>
          <w:rFonts w:ascii="宋体" w:hAnsi="宋体" w:cs="宋体"/>
        </w:rPr>
      </w:pPr>
      <w:r>
        <w:rPr>
          <w:rFonts w:hint="eastAsia" w:ascii="宋体" w:hAnsi="宋体" w:cs="宋体"/>
        </w:rPr>
        <w:t>26.4有下列情形之一的，视为投标人串通投标，投标无效：</w:t>
      </w:r>
    </w:p>
    <w:p>
      <w:pPr>
        <w:pStyle w:val="31"/>
        <w:rPr>
          <w:rFonts w:ascii="宋体" w:hAnsi="宋体" w:cs="宋体"/>
        </w:rPr>
      </w:pPr>
      <w:r>
        <w:rPr>
          <w:rFonts w:hint="eastAsia" w:ascii="宋体" w:hAnsi="宋体" w:cs="宋体"/>
        </w:rPr>
        <w:t>（1）不同投标人的投标文件由同一单位或者个人编制；</w:t>
      </w:r>
    </w:p>
    <w:p>
      <w:pPr>
        <w:pStyle w:val="31"/>
        <w:rPr>
          <w:rFonts w:ascii="宋体" w:hAnsi="宋体" w:cs="宋体"/>
        </w:rPr>
      </w:pPr>
      <w:r>
        <w:rPr>
          <w:rFonts w:hint="eastAsia" w:ascii="宋体" w:hAnsi="宋体" w:cs="宋体"/>
        </w:rPr>
        <w:t>（2）不同投标人委托同一单位或者个人办理投标事宜；</w:t>
      </w:r>
    </w:p>
    <w:p>
      <w:pPr>
        <w:pStyle w:val="31"/>
        <w:rPr>
          <w:rFonts w:ascii="宋体" w:hAnsi="宋体" w:cs="宋体"/>
        </w:rPr>
      </w:pPr>
      <w:r>
        <w:rPr>
          <w:rFonts w:hint="eastAsia" w:ascii="宋体" w:hAnsi="宋体" w:cs="宋体"/>
        </w:rPr>
        <w:t>（3）不同投标人的投标文件载明的项目管理成员或者联系人员为同一人；</w:t>
      </w:r>
    </w:p>
    <w:p>
      <w:pPr>
        <w:pStyle w:val="31"/>
        <w:rPr>
          <w:rFonts w:ascii="宋体" w:hAnsi="宋体" w:cs="宋体"/>
        </w:rPr>
      </w:pPr>
      <w:r>
        <w:rPr>
          <w:rFonts w:hint="eastAsia" w:ascii="宋体" w:hAnsi="宋体" w:cs="宋体"/>
        </w:rPr>
        <w:t>（4）不同投标人的投标文件异常一致或者投标报价呈规律性差异；</w:t>
      </w:r>
    </w:p>
    <w:p>
      <w:pPr>
        <w:pStyle w:val="31"/>
        <w:rPr>
          <w:rFonts w:ascii="宋体" w:hAnsi="宋体" w:cs="宋体"/>
        </w:rPr>
      </w:pPr>
      <w:r>
        <w:rPr>
          <w:rFonts w:hint="eastAsia" w:ascii="宋体" w:hAnsi="宋体" w:cs="宋体"/>
        </w:rPr>
        <w:t>（5）不同投标人的投标文件相互混装；</w:t>
      </w:r>
    </w:p>
    <w:p>
      <w:pPr>
        <w:pStyle w:val="31"/>
        <w:rPr>
          <w:rFonts w:ascii="宋体" w:hAnsi="宋体" w:cs="宋体"/>
        </w:rPr>
      </w:pPr>
      <w:r>
        <w:rPr>
          <w:rFonts w:hint="eastAsia" w:ascii="宋体" w:hAnsi="宋体" w:cs="宋体"/>
        </w:rPr>
        <w:t>（6）不同投标人的投标保证金从同一单位或者个人的账户转出。</w:t>
      </w:r>
    </w:p>
    <w:p>
      <w:pPr>
        <w:pStyle w:val="31"/>
        <w:rPr>
          <w:rFonts w:ascii="宋体" w:hAnsi="宋体" w:cs="宋体"/>
          <w:b/>
        </w:rPr>
      </w:pPr>
      <w:r>
        <w:rPr>
          <w:rFonts w:hint="eastAsia" w:ascii="宋体" w:hAnsi="宋体" w:cs="宋体"/>
          <w:b/>
        </w:rPr>
        <w:t>27.质疑处理</w:t>
      </w:r>
      <w:bookmarkEnd w:id="154"/>
    </w:p>
    <w:p>
      <w:pPr>
        <w:pStyle w:val="31"/>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31"/>
        <w:rPr>
          <w:rFonts w:ascii="宋体" w:hAnsi="宋体" w:cs="宋体"/>
          <w:b/>
        </w:rPr>
      </w:pPr>
      <w:r>
        <w:rPr>
          <w:rFonts w:hint="eastAsia" w:ascii="宋体" w:hAnsi="宋体" w:cs="宋体"/>
          <w:b/>
        </w:rPr>
        <w:t>28.中标通知书</w:t>
      </w:r>
    </w:p>
    <w:p>
      <w:pPr>
        <w:pStyle w:val="31"/>
        <w:rPr>
          <w:rFonts w:ascii="宋体" w:hAnsi="宋体" w:cs="宋体"/>
        </w:rPr>
      </w:pPr>
      <w:r>
        <w:rPr>
          <w:rFonts w:hint="eastAsia" w:ascii="宋体" w:hAnsi="宋体" w:cs="宋体"/>
        </w:rPr>
        <w:t>28.1中标结果确定后，采购人将向中标供应商发出中标通知书。</w:t>
      </w:r>
    </w:p>
    <w:p>
      <w:pPr>
        <w:pStyle w:val="31"/>
        <w:rPr>
          <w:rFonts w:ascii="宋体" w:hAnsi="宋体" w:cs="宋体"/>
        </w:rPr>
      </w:pPr>
      <w:r>
        <w:rPr>
          <w:rFonts w:hint="eastAsia" w:ascii="宋体" w:hAnsi="宋体" w:cs="宋体"/>
        </w:rPr>
        <w:t>28.2中标通知书将是合同的一个组成部分。对采购人和中标供应商均具有法律效力。中标通知书发出后，采购人改变中标结果的，或者中标供应商放弃中标项目的，应当依法承担法律责任。</w:t>
      </w:r>
    </w:p>
    <w:p>
      <w:pPr>
        <w:pStyle w:val="31"/>
        <w:rPr>
          <w:rFonts w:ascii="宋体" w:hAnsi="宋体" w:cs="宋体"/>
          <w:b/>
        </w:rPr>
      </w:pPr>
      <w:bookmarkStart w:id="155" w:name="_Toc517190888"/>
      <w:bookmarkStart w:id="156" w:name="_Toc120614220"/>
      <w:bookmarkStart w:id="157" w:name="_Toc20823308"/>
      <w:bookmarkStart w:id="158" w:name="_Toc513029236"/>
      <w:bookmarkStart w:id="159" w:name="_Toc16938552"/>
      <w:r>
        <w:rPr>
          <w:rFonts w:hint="eastAsia" w:ascii="宋体" w:hAnsi="宋体" w:cs="宋体"/>
          <w:b/>
        </w:rPr>
        <w:t>七、授予合同</w:t>
      </w:r>
      <w:bookmarkEnd w:id="155"/>
      <w:bookmarkEnd w:id="156"/>
    </w:p>
    <w:bookmarkEnd w:id="157"/>
    <w:bookmarkEnd w:id="158"/>
    <w:bookmarkEnd w:id="159"/>
    <w:p>
      <w:pPr>
        <w:pStyle w:val="31"/>
        <w:rPr>
          <w:rFonts w:ascii="宋体" w:hAnsi="宋体" w:cs="宋体"/>
          <w:b/>
        </w:rPr>
      </w:pPr>
      <w:bookmarkStart w:id="160" w:name="_Toc20823309"/>
      <w:bookmarkStart w:id="161" w:name="_Toc16938553"/>
      <w:bookmarkStart w:id="162" w:name="_Toc513029237"/>
      <w:r>
        <w:rPr>
          <w:rFonts w:hint="eastAsia" w:ascii="宋体" w:hAnsi="宋体" w:cs="宋体"/>
          <w:b/>
        </w:rPr>
        <w:t>29.签订合同</w:t>
      </w:r>
    </w:p>
    <w:p>
      <w:pPr>
        <w:pStyle w:val="31"/>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31"/>
        <w:rPr>
          <w:rFonts w:ascii="宋体" w:hAnsi="宋体" w:cs="宋体"/>
        </w:rPr>
      </w:pPr>
      <w:r>
        <w:rPr>
          <w:rFonts w:hint="eastAsia" w:ascii="宋体" w:hAnsi="宋体" w:cs="宋体"/>
        </w:rPr>
        <w:t>29.2招标文件、中标人的投标文件及招标过程中有关澄清、承诺文件均应作为合同附件。</w:t>
      </w:r>
    </w:p>
    <w:p>
      <w:pPr>
        <w:pStyle w:val="31"/>
        <w:rPr>
          <w:rFonts w:ascii="宋体" w:hAnsi="宋体" w:cs="宋体"/>
        </w:rPr>
      </w:pPr>
      <w:r>
        <w:rPr>
          <w:rFonts w:hint="eastAsia" w:ascii="宋体" w:hAnsi="宋体" w:cs="宋体"/>
        </w:rPr>
        <w:t>29.3签订合同后，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31"/>
        <w:rPr>
          <w:rFonts w:ascii="宋体" w:hAnsi="宋体" w:cs="宋体"/>
          <w:b/>
        </w:rPr>
      </w:pPr>
      <w:bookmarkStart w:id="163" w:name="_Toc517190889"/>
      <w:r>
        <w:rPr>
          <w:rFonts w:hint="eastAsia" w:ascii="宋体" w:hAnsi="宋体" w:cs="宋体"/>
          <w:b/>
        </w:rPr>
        <w:t>八、其他</w:t>
      </w:r>
      <w:bookmarkEnd w:id="163"/>
    </w:p>
    <w:p>
      <w:pPr>
        <w:pStyle w:val="31"/>
        <w:rPr>
          <w:rFonts w:ascii="宋体" w:hAnsi="宋体" w:cs="宋体"/>
          <w:b/>
        </w:rPr>
      </w:pPr>
      <w:r>
        <w:rPr>
          <w:rFonts w:hint="eastAsia" w:ascii="宋体" w:hAnsi="宋体" w:cs="宋体"/>
          <w:b/>
        </w:rPr>
        <w:t>30.样品</w:t>
      </w:r>
    </w:p>
    <w:p>
      <w:pPr>
        <w:pStyle w:val="31"/>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5"/>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第三章项目需求</w:t>
      </w:r>
      <w:bookmarkEnd w:id="164"/>
    </w:p>
    <w:p>
      <w:pPr>
        <w:pStyle w:val="6"/>
      </w:pPr>
      <w:r>
        <w:rPr>
          <w:rFonts w:hint="eastAsia"/>
        </w:rPr>
        <w:t>一、</w:t>
      </w:r>
      <w:r>
        <w:t>采购清单</w:t>
      </w:r>
    </w:p>
    <w:p>
      <w:pPr>
        <w:wordWrap w:val="0"/>
        <w:spacing w:line="360" w:lineRule="auto"/>
        <w:ind w:firstLine="480" w:firstLineChars="200"/>
        <w:rPr>
          <w:sz w:val="24"/>
          <w:szCs w:val="24"/>
        </w:rPr>
      </w:pPr>
      <w:r>
        <w:rPr>
          <w:rFonts w:ascii="宋体" w:hAnsi="宋体" w:eastAsia="宋体" w:cs="宋体"/>
          <w:color w:val="000000"/>
          <w:sz w:val="24"/>
          <w:szCs w:val="24"/>
        </w:rPr>
        <w:t>为提升我校的学生综合素养，培养培育专而全的新型人才，适应当前快速发展发育的时代要求，因而开设必修课和选修课的通识素养教育。我校所需的通识教育学习平台，需包括以下七大模块：通识素养测评功能、通识教育经典阅读数字教材、通识素养课程模块、通识教育课程学习系统管理功能、通识教育学习报告、学习结果问卷调查功能、通识教育学习系统移动端。</w:t>
      </w:r>
    </w:p>
    <w:p>
      <w:pPr>
        <w:wordWrap w:val="0"/>
        <w:spacing w:after="0" w:line="234" w:lineRule="exact"/>
      </w:pPr>
    </w:p>
    <w:tbl>
      <w:tblPr>
        <w:tblStyle w:val="22"/>
        <w:tblW w:w="9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 w:type="dxa"/>
          <w:bottom w:w="0" w:type="dxa"/>
          <w:right w:w="10" w:type="dxa"/>
        </w:tblCellMar>
      </w:tblPr>
      <w:tblGrid>
        <w:gridCol w:w="957"/>
        <w:gridCol w:w="1897"/>
        <w:gridCol w:w="1070"/>
        <w:gridCol w:w="2288"/>
        <w:gridCol w:w="902"/>
        <w:gridCol w:w="20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510" w:hRule="atLeast"/>
          <w:jc w:val="center"/>
        </w:trPr>
        <w:tc>
          <w:tcPr>
            <w:tcW w:w="957" w:type="dxa"/>
            <w:tcBorders>
              <w:tl2br w:val="nil"/>
              <w:tr2bl w:val="nil"/>
            </w:tcBorders>
            <w:tcMar>
              <w:top w:w="20" w:type="dxa"/>
              <w:left w:w="20" w:type="dxa"/>
              <w:bottom w:w="20" w:type="dxa"/>
              <w:right w:w="20" w:type="dxa"/>
            </w:tcMar>
            <w:vAlign w:val="center"/>
          </w:tcPr>
          <w:p>
            <w:pPr>
              <w:wordWrap w:val="0"/>
              <w:jc w:val="center"/>
            </w:pPr>
            <w:r>
              <w:rPr>
                <w:rFonts w:ascii="宋体" w:hAnsi="宋体" w:eastAsia="宋体" w:cs="宋体"/>
                <w:color w:val="000000"/>
                <w:sz w:val="21"/>
              </w:rPr>
              <w:t>序号</w:t>
            </w:r>
          </w:p>
        </w:tc>
        <w:tc>
          <w:tcPr>
            <w:tcW w:w="1897" w:type="dxa"/>
            <w:tcBorders>
              <w:tl2br w:val="nil"/>
              <w:tr2bl w:val="nil"/>
            </w:tcBorders>
            <w:tcMar>
              <w:top w:w="20" w:type="dxa"/>
              <w:left w:w="20" w:type="dxa"/>
              <w:bottom w:w="20" w:type="dxa"/>
              <w:right w:w="20" w:type="dxa"/>
            </w:tcMar>
            <w:vAlign w:val="center"/>
          </w:tcPr>
          <w:p>
            <w:pPr>
              <w:wordWrap w:val="0"/>
              <w:spacing w:line="273" w:lineRule="exact"/>
              <w:jc w:val="center"/>
            </w:pPr>
            <w:r>
              <w:rPr>
                <w:rFonts w:ascii="宋体" w:hAnsi="宋体" w:eastAsia="宋体" w:cs="宋体"/>
                <w:color w:val="000000"/>
                <w:sz w:val="21"/>
              </w:rPr>
              <w:t>服务内容</w:t>
            </w:r>
          </w:p>
        </w:tc>
        <w:tc>
          <w:tcPr>
            <w:tcW w:w="1070" w:type="dxa"/>
            <w:tcBorders>
              <w:tl2br w:val="nil"/>
              <w:tr2bl w:val="nil"/>
            </w:tcBorders>
            <w:tcMar>
              <w:top w:w="20" w:type="dxa"/>
              <w:left w:w="20" w:type="dxa"/>
              <w:bottom w:w="20" w:type="dxa"/>
              <w:right w:w="20" w:type="dxa"/>
            </w:tcMar>
            <w:vAlign w:val="center"/>
          </w:tcPr>
          <w:p>
            <w:pPr>
              <w:wordWrap w:val="0"/>
              <w:spacing w:line="273" w:lineRule="exact"/>
              <w:jc w:val="center"/>
            </w:pPr>
            <w:r>
              <w:rPr>
                <w:rFonts w:ascii="宋体" w:hAnsi="宋体" w:eastAsia="宋体" w:cs="宋体"/>
                <w:color w:val="000000"/>
                <w:sz w:val="21"/>
              </w:rPr>
              <w:t>服务期限</w:t>
            </w:r>
          </w:p>
        </w:tc>
        <w:tc>
          <w:tcPr>
            <w:tcW w:w="2288" w:type="dxa"/>
            <w:tcBorders>
              <w:tl2br w:val="nil"/>
              <w:tr2bl w:val="nil"/>
            </w:tcBorders>
            <w:tcMar>
              <w:top w:w="20" w:type="dxa"/>
              <w:left w:w="20" w:type="dxa"/>
              <w:bottom w:w="20" w:type="dxa"/>
              <w:right w:w="20" w:type="dxa"/>
            </w:tcMar>
            <w:vAlign w:val="center"/>
          </w:tcPr>
          <w:p>
            <w:pPr>
              <w:wordWrap w:val="0"/>
              <w:spacing w:line="273" w:lineRule="exact"/>
              <w:jc w:val="center"/>
            </w:pPr>
            <w:r>
              <w:rPr>
                <w:rFonts w:ascii="宋体" w:hAnsi="宋体" w:eastAsia="宋体" w:cs="宋体"/>
                <w:color w:val="000000"/>
                <w:sz w:val="21"/>
              </w:rPr>
              <w:t>数量</w:t>
            </w:r>
          </w:p>
        </w:tc>
        <w:tc>
          <w:tcPr>
            <w:tcW w:w="902" w:type="dxa"/>
            <w:tcBorders>
              <w:tl2br w:val="nil"/>
              <w:tr2bl w:val="nil"/>
            </w:tcBorders>
            <w:tcMar>
              <w:top w:w="20" w:type="dxa"/>
              <w:left w:w="20" w:type="dxa"/>
              <w:bottom w:w="20" w:type="dxa"/>
              <w:right w:w="20" w:type="dxa"/>
            </w:tcMar>
            <w:vAlign w:val="center"/>
          </w:tcPr>
          <w:p>
            <w:pPr>
              <w:wordWrap w:val="0"/>
              <w:spacing w:line="273" w:lineRule="exact"/>
              <w:jc w:val="center"/>
            </w:pPr>
            <w:r>
              <w:rPr>
                <w:rFonts w:ascii="宋体" w:hAnsi="宋体" w:eastAsia="宋体" w:cs="宋体"/>
                <w:color w:val="000000"/>
                <w:sz w:val="21"/>
              </w:rPr>
              <w:t>单位</w:t>
            </w:r>
          </w:p>
        </w:tc>
        <w:tc>
          <w:tcPr>
            <w:tcW w:w="2010" w:type="dxa"/>
            <w:tcBorders>
              <w:tl2br w:val="nil"/>
              <w:tr2bl w:val="nil"/>
            </w:tcBorders>
            <w:tcMar>
              <w:top w:w="20" w:type="dxa"/>
              <w:left w:w="20" w:type="dxa"/>
              <w:bottom w:w="20" w:type="dxa"/>
              <w:right w:w="20" w:type="dxa"/>
            </w:tcMar>
            <w:vAlign w:val="center"/>
          </w:tcPr>
          <w:p>
            <w:pPr>
              <w:wordWrap w:val="0"/>
              <w:spacing w:line="273" w:lineRule="exact"/>
              <w:jc w:val="center"/>
            </w:pPr>
            <w:r>
              <w:rPr>
                <w:rFonts w:ascii="宋体" w:hAnsi="宋体" w:eastAsia="宋体" w:cs="宋体"/>
                <w:color w:val="000000"/>
                <w:sz w:val="21"/>
              </w:rPr>
              <w:t>完成标准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360" w:hRule="atLeast"/>
          <w:jc w:val="center"/>
        </w:trPr>
        <w:tc>
          <w:tcPr>
            <w:tcW w:w="957" w:type="dxa"/>
            <w:tcBorders>
              <w:tl2br w:val="nil"/>
              <w:tr2bl w:val="nil"/>
            </w:tcBorders>
            <w:tcMar>
              <w:top w:w="20" w:type="dxa"/>
              <w:left w:w="20" w:type="dxa"/>
              <w:bottom w:w="20" w:type="dxa"/>
              <w:right w:w="20" w:type="dxa"/>
            </w:tcMar>
            <w:vAlign w:val="center"/>
          </w:tcPr>
          <w:p>
            <w:pPr>
              <w:wordWrap w:val="0"/>
              <w:jc w:val="center"/>
            </w:pPr>
            <w:r>
              <w:rPr>
                <w:rFonts w:ascii="宋体" w:hAnsi="宋体" w:eastAsia="宋体" w:cs="宋体"/>
                <w:color w:val="000000"/>
                <w:sz w:val="21"/>
              </w:rPr>
              <w:t>1</w:t>
            </w:r>
          </w:p>
        </w:tc>
        <w:tc>
          <w:tcPr>
            <w:tcW w:w="1897" w:type="dxa"/>
            <w:tcBorders>
              <w:tl2br w:val="nil"/>
              <w:tr2bl w:val="nil"/>
            </w:tcBorders>
            <w:tcMar>
              <w:top w:w="20" w:type="dxa"/>
              <w:left w:w="20" w:type="dxa"/>
              <w:bottom w:w="20" w:type="dxa"/>
              <w:right w:w="20" w:type="dxa"/>
            </w:tcMar>
            <w:vAlign w:val="center"/>
          </w:tcPr>
          <w:p>
            <w:pPr>
              <w:wordWrap w:val="0"/>
              <w:spacing w:line="273" w:lineRule="exact"/>
            </w:pPr>
            <w:r>
              <w:rPr>
                <w:rFonts w:ascii="宋体" w:hAnsi="宋体" w:eastAsia="宋体" w:cs="宋体"/>
                <w:color w:val="000000"/>
                <w:sz w:val="21"/>
              </w:rPr>
              <w:t>网络通识课程</w:t>
            </w:r>
          </w:p>
        </w:tc>
        <w:tc>
          <w:tcPr>
            <w:tcW w:w="1070" w:type="dxa"/>
            <w:tcBorders>
              <w:tl2br w:val="nil"/>
              <w:tr2bl w:val="nil"/>
            </w:tcBorders>
            <w:tcMar>
              <w:top w:w="20" w:type="dxa"/>
              <w:left w:w="20" w:type="dxa"/>
              <w:bottom w:w="20" w:type="dxa"/>
              <w:right w:w="20" w:type="dxa"/>
            </w:tcMar>
            <w:vAlign w:val="center"/>
          </w:tcPr>
          <w:p>
            <w:pPr>
              <w:wordWrap w:val="0"/>
              <w:spacing w:line="273" w:lineRule="exact"/>
            </w:pPr>
            <w:r>
              <w:rPr>
                <w:rFonts w:hint="eastAsia" w:ascii="宋体" w:hAnsi="宋体" w:eastAsia="宋体" w:cs="宋体"/>
                <w:color w:val="000000"/>
                <w:sz w:val="21"/>
              </w:rPr>
              <w:t>两</w:t>
            </w:r>
            <w:r>
              <w:rPr>
                <w:rFonts w:ascii="宋体" w:hAnsi="宋体" w:eastAsia="宋体" w:cs="宋体"/>
                <w:color w:val="000000"/>
                <w:sz w:val="21"/>
              </w:rPr>
              <w:t>年</w:t>
            </w:r>
          </w:p>
        </w:tc>
        <w:tc>
          <w:tcPr>
            <w:tcW w:w="2288" w:type="dxa"/>
            <w:tcBorders>
              <w:tl2br w:val="nil"/>
              <w:tr2bl w:val="nil"/>
            </w:tcBorders>
            <w:tcMar>
              <w:top w:w="20" w:type="dxa"/>
              <w:left w:w="20" w:type="dxa"/>
              <w:bottom w:w="20" w:type="dxa"/>
              <w:right w:w="20" w:type="dxa"/>
            </w:tcMar>
            <w:vAlign w:val="center"/>
          </w:tcPr>
          <w:p>
            <w:pPr>
              <w:wordWrap w:val="0"/>
              <w:jc w:val="center"/>
            </w:pPr>
            <w:r>
              <w:rPr>
                <w:rFonts w:hint="eastAsia" w:ascii="宋体" w:hAnsi="宋体" w:eastAsia="宋体" w:cs="宋体"/>
                <w:color w:val="000000"/>
                <w:sz w:val="21"/>
              </w:rPr>
              <w:t>20门课程(1套)</w:t>
            </w:r>
          </w:p>
        </w:tc>
        <w:tc>
          <w:tcPr>
            <w:tcW w:w="902" w:type="dxa"/>
            <w:tcBorders>
              <w:tl2br w:val="nil"/>
              <w:tr2bl w:val="nil"/>
            </w:tcBorders>
            <w:tcMar>
              <w:top w:w="20" w:type="dxa"/>
              <w:left w:w="20" w:type="dxa"/>
              <w:bottom w:w="20" w:type="dxa"/>
              <w:right w:w="20" w:type="dxa"/>
            </w:tcMar>
            <w:vAlign w:val="center"/>
          </w:tcPr>
          <w:p>
            <w:pPr>
              <w:wordWrap w:val="0"/>
              <w:spacing w:line="273" w:lineRule="exact"/>
              <w:jc w:val="center"/>
            </w:pPr>
            <w:r>
              <w:rPr>
                <w:rFonts w:ascii="宋体" w:hAnsi="宋体" w:eastAsia="宋体" w:cs="宋体"/>
                <w:color w:val="000000"/>
                <w:sz w:val="21"/>
              </w:rPr>
              <w:t>项</w:t>
            </w:r>
          </w:p>
        </w:tc>
        <w:tc>
          <w:tcPr>
            <w:tcW w:w="2010" w:type="dxa"/>
            <w:tcBorders>
              <w:tl2br w:val="nil"/>
              <w:tr2bl w:val="nil"/>
            </w:tcBorders>
            <w:tcMar>
              <w:top w:w="20" w:type="dxa"/>
              <w:left w:w="20" w:type="dxa"/>
              <w:bottom w:w="20" w:type="dxa"/>
              <w:right w:w="20" w:type="dxa"/>
            </w:tcMar>
            <w:vAlign w:val="center"/>
          </w:tcPr>
          <w:p>
            <w:pPr>
              <w:wordWrap w:val="0"/>
              <w:spacing w:line="273" w:lineRule="exact"/>
            </w:pPr>
            <w:r>
              <w:rPr>
                <w:rFonts w:ascii="宋体" w:hAnsi="宋体" w:eastAsia="宋体" w:cs="宋体"/>
                <w:color w:val="000000"/>
                <w:sz w:val="21"/>
              </w:rPr>
              <w:t>满足招标文件要求</w:t>
            </w:r>
          </w:p>
        </w:tc>
      </w:tr>
    </w:tbl>
    <w:p>
      <w:r>
        <w:rPr>
          <w:rFonts w:hint="eastAsia"/>
        </w:rPr>
        <w:t>20门素质公选课程资源应包括但不限于以下要求：</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1.师资来源：双一流高校、中国科学院、中国工程院、中国社会科学院、美国常春藤联盟等国内外知名院校和科研机构。</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2.版权问题：供应商应解决课程版权事宜，不会给学校带来版权纠纷或因为相关争议影响学校正常使用，需提供投标课程的主讲教师授权协议。</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3.课程视频：课程必需高清拍摄，可在线以720P以上清晰度流畅播放；有完整清晰的简体中文字幕（外语课程有清晰对应语种字幕），有独立字幕文件；视频中配备图片等富媒体素材帮助学生学习；每个视频文件平均时长约为14分钟，MP4格式。</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4.辅学资源：每门课程除了完善的教学视频外，必须至少包含与本门课程相关的图书、专题两部分内容，以丰富学生的课外学习。其中，相关电子版参考文献至少10册，相关专题至少4个。</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5.课程相关：每门课程需要配有完善的教学大纲，相关试题库（选择题、判断题、填空题、简答题）；每门课程包含150道左右练习题，试题每年更新一次。为提高考核的科学性，课程的课后习题库和期末考试题库分离，2个题库的试题重复率低至1%。</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6.期末考试需提供难、中、易三种难度供用户选择。其中难度为“易”的试卷需包括单选题、多选题、判断题三种题型；难度为“中”的试卷需包括单选题、多选题、判断题、填空题四种题型；难度为“难”的试卷需包括单选题、多选题、判断题、填空题、简答题。</w:t>
      </w:r>
    </w:p>
    <w:p>
      <w:pPr>
        <w:pStyle w:val="50"/>
        <w:spacing w:line="440" w:lineRule="exact"/>
        <w:ind w:firstLine="480"/>
        <w:rPr>
          <w:rFonts w:ascii="宋体" w:hAnsi="宋体" w:eastAsia="宋体" w:cs="宋体"/>
          <w:bCs/>
          <w:sz w:val="24"/>
          <w:szCs w:val="24"/>
        </w:rPr>
      </w:pPr>
      <w:r>
        <w:rPr>
          <w:rFonts w:hint="eastAsia" w:ascii="宋体" w:hAnsi="宋体" w:eastAsia="宋体" w:cs="宋体"/>
          <w:bCs/>
          <w:sz w:val="24"/>
          <w:szCs w:val="24"/>
        </w:rPr>
        <w:t>7.预计采购课程名称，下述列出的采购课程清单为2023-2024学年第1学期采购课程清单，以后各学期将根据学校教学需要对采购课程清单进行调整与更换。</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0"/>
        <w:gridCol w:w="2343"/>
        <w:gridCol w:w="3283"/>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 w:type="pct"/>
            <w:shd w:val="clear" w:color="auto" w:fill="D9D9D9"/>
            <w:vAlign w:val="center"/>
          </w:tcPr>
          <w:p>
            <w:pPr>
              <w:pStyle w:val="50"/>
              <w:spacing w:line="440" w:lineRule="exact"/>
              <w:ind w:firstLine="0" w:firstLineChars="0"/>
              <w:rPr>
                <w:rFonts w:ascii="宋体" w:hAnsi="宋体" w:eastAsia="宋体" w:cs="宋体"/>
                <w:b/>
                <w:bCs/>
                <w:sz w:val="24"/>
                <w:szCs w:val="24"/>
              </w:rPr>
            </w:pPr>
            <w:r>
              <w:rPr>
                <w:rFonts w:hint="eastAsia" w:ascii="宋体" w:hAnsi="宋体" w:eastAsia="宋体" w:cs="宋体"/>
                <w:b/>
                <w:bCs/>
                <w:sz w:val="24"/>
                <w:szCs w:val="24"/>
              </w:rPr>
              <w:t>序号</w:t>
            </w:r>
          </w:p>
        </w:tc>
        <w:tc>
          <w:tcPr>
            <w:tcW w:w="1374" w:type="pct"/>
            <w:shd w:val="clear" w:color="auto" w:fill="D9D9D9"/>
            <w:vAlign w:val="center"/>
          </w:tcPr>
          <w:p>
            <w:pPr>
              <w:pStyle w:val="50"/>
              <w:spacing w:line="440" w:lineRule="exact"/>
              <w:ind w:firstLine="0" w:firstLineChars="0"/>
              <w:rPr>
                <w:rFonts w:ascii="宋体" w:hAnsi="宋体" w:eastAsia="宋体" w:cs="宋体"/>
                <w:b/>
                <w:bCs/>
                <w:sz w:val="24"/>
                <w:szCs w:val="24"/>
              </w:rPr>
            </w:pPr>
            <w:r>
              <w:rPr>
                <w:rFonts w:hint="eastAsia" w:ascii="宋体" w:hAnsi="宋体" w:eastAsia="宋体" w:cs="宋体"/>
                <w:b/>
                <w:bCs/>
                <w:sz w:val="24"/>
                <w:szCs w:val="24"/>
              </w:rPr>
              <w:t>课程类型</w:t>
            </w:r>
          </w:p>
        </w:tc>
        <w:tc>
          <w:tcPr>
            <w:tcW w:w="1925" w:type="pct"/>
            <w:shd w:val="clear" w:color="auto" w:fill="D9D9D9"/>
            <w:vAlign w:val="center"/>
          </w:tcPr>
          <w:p>
            <w:pPr>
              <w:pStyle w:val="50"/>
              <w:spacing w:line="440" w:lineRule="exact"/>
              <w:ind w:firstLine="0" w:firstLineChars="0"/>
              <w:rPr>
                <w:rFonts w:ascii="宋体" w:hAnsi="宋体" w:eastAsia="宋体" w:cs="宋体"/>
                <w:b/>
                <w:bCs/>
                <w:sz w:val="24"/>
                <w:szCs w:val="24"/>
              </w:rPr>
            </w:pPr>
            <w:r>
              <w:rPr>
                <w:rFonts w:hint="eastAsia" w:ascii="宋体" w:hAnsi="宋体" w:eastAsia="宋体" w:cs="宋体"/>
                <w:b/>
                <w:bCs/>
                <w:sz w:val="24"/>
                <w:szCs w:val="24"/>
              </w:rPr>
              <w:t>课程名称</w:t>
            </w:r>
          </w:p>
        </w:tc>
        <w:tc>
          <w:tcPr>
            <w:tcW w:w="1047" w:type="pct"/>
            <w:shd w:val="clear" w:color="auto" w:fill="D9D9D9"/>
            <w:vAlign w:val="center"/>
          </w:tcPr>
          <w:p>
            <w:pPr>
              <w:pStyle w:val="50"/>
              <w:spacing w:line="440" w:lineRule="exact"/>
              <w:ind w:firstLine="0" w:firstLineChars="0"/>
              <w:rPr>
                <w:rFonts w:ascii="宋体" w:hAnsi="宋体" w:eastAsia="宋体" w:cs="宋体"/>
                <w:b/>
                <w:bCs/>
                <w:sz w:val="24"/>
                <w:szCs w:val="24"/>
              </w:rPr>
            </w:pPr>
            <w:r>
              <w:rPr>
                <w:rFonts w:hint="eastAsia" w:ascii="宋体" w:hAnsi="宋体" w:eastAsia="宋体" w:cs="宋体"/>
                <w:b/>
                <w:bCs/>
                <w:sz w:val="24"/>
                <w:szCs w:val="24"/>
              </w:rPr>
              <w:t>开课学校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美育类</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走进西方音乐</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浙江音乐学院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2</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生涯规划与就业指导</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大学生涯规划与职业发展</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武汉理工大学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3</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创新创业</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走进创业</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4</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美育</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人人爱设计</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山东大学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5</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美育</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美的历程:美学导论</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中国社会科学院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6</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人类思想与自我认知类</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儒学复兴与当代启蒙</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美国匹兹堡大学\中国社科院\北京大学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7</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身心健康</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大学生恋爱与性健康</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中国性学会\中日友好医院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8</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创新与创业类</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批创思维导论</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浙江大学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9</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美育</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"https://mooc2-ans.chaoxing.com/mooc2-ans/visit/course/isNewCourse?courseid=236786724&amp;edit=true&amp;enc=0aaa8df764e2235fe2427ec27fa85c3b&amp;cpi=349748628&amp;superstarClass=0"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中国戏曲·昆曲</w:t>
            </w:r>
            <w:r>
              <w:rPr>
                <w:rFonts w:hint="eastAsia" w:ascii="宋体" w:hAnsi="宋体" w:eastAsia="宋体" w:cs="宋体"/>
                <w:bCs/>
                <w:sz w:val="24"/>
                <w:szCs w:val="24"/>
              </w:rPr>
              <w:fldChar w:fldCharType="end"/>
            </w:r>
          </w:p>
          <w:p>
            <w:pPr>
              <w:pStyle w:val="19"/>
              <w:shd w:val="clear" w:color="auto" w:fill="FFFFFF"/>
              <w:spacing w:before="60" w:after="0" w:line="128" w:lineRule="atLeast"/>
              <w:rPr>
                <w:rFonts w:ascii="宋体" w:hAnsi="宋体" w:eastAsia="宋体" w:cs="宋体"/>
                <w:bCs/>
                <w:szCs w:val="24"/>
              </w:rPr>
            </w:pPr>
          </w:p>
        </w:tc>
        <w:tc>
          <w:tcPr>
            <w:tcW w:w="1047" w:type="pct"/>
            <w:shd w:val="clear" w:color="auto" w:fill="auto"/>
            <w:vAlign w:val="center"/>
          </w:tcPr>
          <w:p>
            <w:pPr>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江苏省昆剧院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10</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文学修养与艺术鉴赏</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"https://mooc2-ans.chaoxing.com/mooc2-ans/visit/course/isNewCourse?courseid=236786723&amp;edit=true&amp;enc=699f83b496646037046546b0f99fd9ff&amp;cpi=349748628&amp;superstarClass=0"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绘画里的中国：走进大师与经典</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color w:val="000000"/>
                <w:sz w:val="24"/>
                <w:szCs w:val="24"/>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11</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文学修养与艺术鉴赏</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"https://mooc2-ans.chaoxing.com/mooc2-ans/visit/course/isNewCourse?courseid=236786722&amp;edit=true&amp;enc=4265503c381213595c2723d668788359&amp;cpi=349748628&amp;superstarClass=0"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中华传统文化之戏曲瑰宝</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中国戏曲音乐学会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12</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文学修养与艺术鉴赏</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"https://mooc2-ans.chaoxing.com/mooc2-ans/visit/course/isNewCourse?courseid=236786721&amp;edit=true&amp;enc=db9971a5a1d15534ab2e96906e4c9577&amp;cpi=349748628&amp;superstarClass=0"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穿T恤听古典音乐</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上海音乐学院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13</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通用能力</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"https://mooc2-ans.chaoxing.com/mooc2-ans/visit/course/isNewCourse?courseid=236786719&amp;edit=true&amp;enc=752a83bd9291d68032f79669c51216d7&amp;cpi=349748628&amp;superstarClass=0" \t "https://mooc2-ans.chaoxing.com/mooc2-ans/visit/interaction?moocDomain=https://mooc1-1.chaoxing.com/_blank" </w:instrText>
            </w:r>
            <w:r>
              <w:fldChar w:fldCharType="separate"/>
            </w:r>
            <w:r>
              <w:rPr>
                <w:rStyle w:val="25"/>
                <w:rFonts w:hint="eastAsia" w:ascii="宋体" w:hAnsi="宋体" w:eastAsia="宋体" w:cs="宋体"/>
                <w:b/>
                <w:bCs/>
                <w:color w:val="131B26"/>
                <w:sz w:val="24"/>
                <w:szCs w:val="24"/>
                <w:u w:val="none"/>
                <w:shd w:val="clear" w:color="auto" w:fill="FFFFFF"/>
              </w:rPr>
              <w:t>工匠精神</w:t>
            </w:r>
            <w:r>
              <w:rPr>
                <w:rStyle w:val="25"/>
                <w:rFonts w:hint="eastAsia" w:ascii="宋体" w:hAnsi="宋体" w:eastAsia="宋体" w:cs="宋体"/>
                <w:b/>
                <w:bCs/>
                <w:color w:val="131B26"/>
                <w:sz w:val="24"/>
                <w:szCs w:val="24"/>
                <w:u w:val="none"/>
                <w:shd w:val="clear" w:color="auto" w:fill="FFFFFF"/>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color w:val="000000"/>
                <w:sz w:val="24"/>
                <w:szCs w:val="24"/>
              </w:rPr>
              <w:t>九江职业技术学院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14</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成长基础</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"https://mooc2-ans.chaoxing.com/mooc2-ans/visit/course/isNewCourse?courseid=236786718&amp;edit=true&amp;enc=884d46d64af84937bd270ff74f96d8e9&amp;cpi=349748628&amp;superstarClass=0"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大学生心理健康教育</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中南大学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15</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创新创业</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"https://mooc2-ans.chaoxing.com/mooc2-ans/visit/course/isNewCourse?courseid=236786717&amp;edit=true&amp;enc=083ec34bbd435e4d1e659be6614cabcf&amp;cpi=349748628&amp;superstarClass=0"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脑洞大开背后的创新思维</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大连理工大学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16</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创新创业</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"https://mooc2-ans.chaoxing.com/mooc2-ans/visit/course/isNewCourse?courseid=236786716&amp;edit=true&amp;enc=cf07b82230ebe48b74455abb7acc11cd&amp;cpi=349748628&amp;superstarClass=0"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创新思维训练</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中山大学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17</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科学发现与技术革新</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"https://mooc2-ans.chaoxing.com/mooc2-ans/visit/course/isNewCourse?courseid=236786715&amp;edit=true&amp;enc=830ba0e1197be30b1d3f50da57c5b411&amp;cpi=349748628&amp;superstarClass=0"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舌尖上的植物学</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北京大学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18</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职业素养类</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fldChar w:fldCharType="begin"/>
            </w:r>
            <w:r>
              <w:instrText xml:space="preserve"> HYPERLINK "https://mooc2-ans.chaoxing.com/mooc2-ans/visit/course/isNewCourse?courseid=236786713&amp;edit=true&amp;enc=f982f1c8b62d83ae04a53d67445e5c58&amp;cpi=349748628&amp;superstarClass=0" \t "https://mooc2-ans.chaoxing.com/mooc2-ans/visit/interaction?moocDomain=https://mooc1-1.chaoxing.com/_blank" </w:instrText>
            </w:r>
            <w:r>
              <w:fldChar w:fldCharType="separate"/>
            </w:r>
            <w:r>
              <w:rPr>
                <w:rFonts w:hint="eastAsia" w:ascii="宋体" w:hAnsi="宋体" w:eastAsia="宋体" w:cs="宋体"/>
                <w:bCs/>
                <w:sz w:val="24"/>
                <w:szCs w:val="24"/>
              </w:rPr>
              <w:t>对话大国工匠 致敬劳动模范</w:t>
            </w:r>
            <w:r>
              <w:rPr>
                <w:rFonts w:hint="eastAsia" w:ascii="宋体" w:hAnsi="宋体" w:eastAsia="宋体" w:cs="宋体"/>
                <w:bCs/>
                <w:sz w:val="24"/>
                <w:szCs w:val="24"/>
              </w:rPr>
              <w:fldChar w:fldCharType="end"/>
            </w:r>
          </w:p>
        </w:tc>
        <w:tc>
          <w:tcPr>
            <w:tcW w:w="1047" w:type="pct"/>
            <w:shd w:val="clear" w:color="auto" w:fill="auto"/>
            <w:vAlign w:val="center"/>
          </w:tcPr>
          <w:p>
            <w:pPr>
              <w:pStyle w:val="50"/>
              <w:spacing w:line="440" w:lineRule="exact"/>
              <w:ind w:firstLine="0" w:firstLineChars="0"/>
              <w:rPr>
                <w:rFonts w:hint="eastAsia" w:ascii="宋体" w:hAnsi="宋体" w:eastAsia="宋体" w:cs="宋体"/>
                <w:bCs/>
                <w:sz w:val="24"/>
                <w:szCs w:val="24"/>
                <w:lang w:eastAsia="zh-CN"/>
              </w:rPr>
            </w:pPr>
            <w:r>
              <w:rPr>
                <w:rFonts w:hint="eastAsia" w:ascii="宋体" w:hAnsi="宋体" w:eastAsia="宋体" w:cs="宋体"/>
                <w:bCs/>
                <w:sz w:val="24"/>
                <w:szCs w:val="24"/>
              </w:rPr>
              <w:t>中国劳动关系学院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19</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职业素养类</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创业人生</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上海大学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20</w:t>
            </w:r>
          </w:p>
        </w:tc>
        <w:tc>
          <w:tcPr>
            <w:tcW w:w="1374"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职业素养类</w:t>
            </w:r>
          </w:p>
        </w:tc>
        <w:tc>
          <w:tcPr>
            <w:tcW w:w="1925"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bCs/>
                <w:sz w:val="24"/>
                <w:szCs w:val="24"/>
              </w:rPr>
              <w:t>创新中国</w:t>
            </w:r>
          </w:p>
        </w:tc>
        <w:tc>
          <w:tcPr>
            <w:tcW w:w="1047" w:type="pct"/>
            <w:shd w:val="clear" w:color="auto" w:fill="auto"/>
            <w:vAlign w:val="center"/>
          </w:tcPr>
          <w:p>
            <w:pPr>
              <w:pStyle w:val="50"/>
              <w:spacing w:line="440" w:lineRule="exact"/>
              <w:ind w:firstLine="0" w:firstLineChars="0"/>
              <w:rPr>
                <w:rFonts w:ascii="宋体" w:hAnsi="宋体" w:eastAsia="宋体" w:cs="宋体"/>
                <w:bCs/>
                <w:sz w:val="24"/>
                <w:szCs w:val="24"/>
              </w:rPr>
            </w:pPr>
            <w:r>
              <w:rPr>
                <w:rFonts w:hint="eastAsia" w:ascii="宋体" w:hAnsi="宋体" w:eastAsia="宋体" w:cs="宋体"/>
                <w:sz w:val="24"/>
                <w:szCs w:val="24"/>
              </w:rPr>
              <w:t>上海大学</w:t>
            </w:r>
          </w:p>
        </w:tc>
      </w:tr>
    </w:tbl>
    <w:p>
      <w:pPr>
        <w:pStyle w:val="50"/>
        <w:spacing w:line="440" w:lineRule="exact"/>
        <w:ind w:firstLine="480"/>
        <w:rPr>
          <w:rFonts w:ascii="宋体" w:hAnsi="宋体"/>
          <w:bCs/>
          <w:sz w:val="24"/>
          <w:szCs w:val="24"/>
        </w:rPr>
      </w:pPr>
      <w:r>
        <w:rPr>
          <w:rFonts w:hint="eastAsia" w:ascii="宋体" w:hAnsi="宋体"/>
          <w:bCs/>
          <w:sz w:val="24"/>
          <w:szCs w:val="24"/>
        </w:rPr>
        <w:t>8、平台备选课程数量要求</w:t>
      </w:r>
    </w:p>
    <w:p>
      <w:pPr>
        <w:pStyle w:val="50"/>
        <w:spacing w:line="360" w:lineRule="auto"/>
        <w:ind w:firstLine="480"/>
        <w:rPr>
          <w:rFonts w:ascii="宋体" w:hAnsi="宋体" w:eastAsia="宋体" w:cs="宋体"/>
          <w:bCs/>
          <w:sz w:val="24"/>
          <w:szCs w:val="24"/>
        </w:rPr>
      </w:pPr>
      <w:r>
        <w:rPr>
          <w:rFonts w:hint="eastAsia" w:ascii="宋体" w:hAnsi="宋体" w:eastAsia="宋体" w:cs="宋体"/>
          <w:bCs/>
          <w:sz w:val="24"/>
          <w:szCs w:val="24"/>
        </w:rPr>
        <w:t>由于本次招标列出的是学校2023-2023学年第1学期采购的网络课程清单，学校将根据各学期课程教学需要，对采购的课程内容进行调整或更换。为了满足学校开课需求，供应商提供的网络课程平台上的网络课程总量应不低于300门，且各类课程要分别达到相应的课程备选要求。</w:t>
      </w:r>
    </w:p>
    <w:p>
      <w:pPr>
        <w:pStyle w:val="50"/>
        <w:spacing w:line="440" w:lineRule="exact"/>
        <w:ind w:firstLine="480"/>
        <w:rPr>
          <w:rFonts w:asciiTheme="minorEastAsia" w:hAnsiTheme="minorEastAsia" w:eastAsiaTheme="minorEastAsia"/>
          <w:sz w:val="24"/>
          <w:szCs w:val="24"/>
        </w:rPr>
      </w:pP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1）综合素养类课程数量不低于150门，且满足以下要求。</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936"/>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备选数量</w:t>
            </w:r>
          </w:p>
        </w:tc>
        <w:tc>
          <w:tcPr>
            <w:tcW w:w="3661"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历史文化类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20</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主要介绍中外历史、各地文化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哲学思想类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15</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介绍中西方哲学、心理学、伦理学等思想领域的流派、理论及相关人物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文学艺术类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30</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介绍文学、艺术相关的知识，需包含教育部教体艺厅〔</w:t>
            </w:r>
            <w:r>
              <w:rPr>
                <w:rFonts w:asciiTheme="minorEastAsia" w:hAnsiTheme="minorEastAsia" w:eastAsiaTheme="minorEastAsia"/>
                <w:sz w:val="24"/>
              </w:rPr>
              <w:t>2006〕3号文件中《全国普通高等学校公共艺术课程指导方案》规定艺术限定性选修课程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科学技术类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30</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介绍科学基础学科、前沿学科的进程与成过，需包含人工智能、基因科学、区块链、工程伦理等相关主题，</w:t>
            </w:r>
            <w:r>
              <w:rPr>
                <w:rFonts w:asciiTheme="minorEastAsia" w:hAnsiTheme="minorEastAsia" w:eastAsiaTheme="minorEastAsia"/>
                <w:sz w:val="24"/>
              </w:rPr>
              <w:t>MATLAB</w:t>
            </w:r>
            <w:r>
              <w:rPr>
                <w:rFonts w:hint="eastAsia" w:asciiTheme="minorEastAsia" w:hAnsiTheme="minorEastAsia" w:eastAsiaTheme="minorEastAsia"/>
                <w:sz w:val="24"/>
              </w:rPr>
              <w:t>、</w:t>
            </w:r>
            <w:r>
              <w:rPr>
                <w:rFonts w:asciiTheme="minorEastAsia" w:hAnsiTheme="minorEastAsia" w:eastAsiaTheme="minorEastAsia"/>
                <w:sz w:val="24"/>
              </w:rPr>
              <w:t>CAD等主流软件指南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经济社会类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30</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介绍经济、金融、管理、营销、社会、法律相关主题内容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国学知识类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15</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介绍中国诸子百家思想、经典著作、传统文化、中医、技术等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pct"/>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经典导读类</w:t>
            </w:r>
          </w:p>
        </w:tc>
        <w:tc>
          <w:tcPr>
            <w:tcW w:w="549" w:type="pct"/>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20</w:t>
            </w:r>
          </w:p>
        </w:tc>
        <w:tc>
          <w:tcPr>
            <w:tcW w:w="3661" w:type="pct"/>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覆盖哲学、历史、文学、社会、科学、国学各领域经典，每门课程只导读</w:t>
            </w:r>
            <w:r>
              <w:rPr>
                <w:rFonts w:asciiTheme="minorEastAsia" w:hAnsiTheme="minorEastAsia" w:eastAsiaTheme="minorEastAsia"/>
                <w:sz w:val="24"/>
              </w:rPr>
              <w:t>1本著作</w:t>
            </w:r>
          </w:p>
        </w:tc>
      </w:tr>
    </w:tbl>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2）个人能力类课程数量不低于30门，且需要满足以下要求。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998"/>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备选数量</w:t>
            </w:r>
          </w:p>
        </w:tc>
        <w:tc>
          <w:tcPr>
            <w:tcW w:w="5641"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形象与礼仪</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5</w:t>
            </w:r>
          </w:p>
        </w:tc>
        <w:tc>
          <w:tcPr>
            <w:tcW w:w="5641"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包含个人形象、穿搭、化妆、社交礼仪等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思维能力培养</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5</w:t>
            </w:r>
          </w:p>
        </w:tc>
        <w:tc>
          <w:tcPr>
            <w:tcW w:w="5641"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备选师资应包含至少</w:t>
            </w:r>
            <w:r>
              <w:rPr>
                <w:rFonts w:asciiTheme="minorEastAsia" w:hAnsiTheme="minorEastAsia" w:eastAsiaTheme="minorEastAsia"/>
                <w:sz w:val="24"/>
              </w:rPr>
              <w:t>2位各级</w:t>
            </w:r>
            <w:r>
              <w:rPr>
                <w:rFonts w:hint="eastAsia" w:asciiTheme="minorEastAsia" w:hAnsiTheme="minorEastAsia" w:eastAsiaTheme="minorEastAsia"/>
                <w:sz w:val="24"/>
              </w:rPr>
              <w:t>相关教指委应往届成员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学术写作与学术道德</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5</w:t>
            </w:r>
          </w:p>
        </w:tc>
        <w:tc>
          <w:tcPr>
            <w:tcW w:w="5641"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针对论文写作（中文方向）、学术道德设计课程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语言训练</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5</w:t>
            </w:r>
          </w:p>
        </w:tc>
        <w:tc>
          <w:tcPr>
            <w:tcW w:w="5641"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包含英语、普通话等语种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急救与护理</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4</w:t>
            </w:r>
          </w:p>
        </w:tc>
        <w:tc>
          <w:tcPr>
            <w:tcW w:w="5641"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介绍基本急救及疾病护理知识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文献与信息检索</w:t>
            </w:r>
          </w:p>
        </w:tc>
        <w:tc>
          <w:tcPr>
            <w:tcW w:w="1021"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3</w:t>
            </w:r>
          </w:p>
        </w:tc>
        <w:tc>
          <w:tcPr>
            <w:tcW w:w="5641"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介绍文献检索、信息检索相关知识</w:t>
            </w:r>
          </w:p>
        </w:tc>
      </w:tr>
    </w:tbl>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3）个人成长类课程数量不低于20门，且需要满足以下要求。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1106"/>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备选数量</w:t>
            </w:r>
          </w:p>
        </w:tc>
        <w:tc>
          <w:tcPr>
            <w:tcW w:w="5953"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健康教育</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5953"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符合教育部教体艺〔</w:t>
            </w:r>
            <w:r>
              <w:rPr>
                <w:rFonts w:asciiTheme="minorEastAsia" w:hAnsiTheme="minorEastAsia" w:eastAsiaTheme="minorEastAsia"/>
                <w:sz w:val="24"/>
              </w:rPr>
              <w:t>2017〕5号《普通高等学校健康教育指导纲要》内容要求，课程团队至少包含1名相关</w:t>
            </w:r>
            <w:r>
              <w:rPr>
                <w:rFonts w:hint="eastAsia" w:asciiTheme="minorEastAsia" w:hAnsiTheme="minorEastAsia" w:eastAsiaTheme="minorEastAsia"/>
                <w:sz w:val="24"/>
              </w:rPr>
              <w:t>领域院士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生理健康</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953"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全面介绍高校学生应掌握的生理相关知识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心理健康</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953"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符合教育部教党〔</w:t>
            </w:r>
            <w:r>
              <w:rPr>
                <w:rFonts w:asciiTheme="minorEastAsia" w:hAnsiTheme="minorEastAsia" w:eastAsiaTheme="minorEastAsia"/>
                <w:sz w:val="24"/>
              </w:rPr>
              <w:t>2018〕41号《高等学校学生心理健康教育指导纲要》内容要求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职业发展与就业指导</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953"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符合教育部教高厅〔</w:t>
            </w:r>
            <w:r>
              <w:rPr>
                <w:rFonts w:asciiTheme="minorEastAsia" w:hAnsiTheme="minorEastAsia" w:eastAsiaTheme="minorEastAsia"/>
                <w:sz w:val="24"/>
              </w:rPr>
              <w:t>2007〕7号《大学生职业发展与就业指导课程教学要求》内容要求，课程名称应与文件保持一致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学习与成长</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953"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大学学习、公民素养等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恋爱与生活</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953"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恋爱心理、死亡教育等</w:t>
            </w:r>
          </w:p>
        </w:tc>
      </w:tr>
    </w:tbl>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4）创新创业类课程数量不低于20门，且需要满足以下要求。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089"/>
        <w:gridCol w:w="5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备选数量</w:t>
            </w:r>
          </w:p>
        </w:tc>
        <w:tc>
          <w:tcPr>
            <w:tcW w:w="6095"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创业理论基础</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至少</w:t>
            </w:r>
            <w:r>
              <w:rPr>
                <w:rFonts w:asciiTheme="minorEastAsia" w:hAnsiTheme="minorEastAsia" w:eastAsiaTheme="minorEastAsia"/>
                <w:sz w:val="24"/>
              </w:rPr>
              <w:t>1门课授课教师应有教育部高等学校创业教育指导委员会委员经历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创业案例访谈</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访谈人数不少于</w:t>
            </w:r>
            <w:r>
              <w:rPr>
                <w:rFonts w:asciiTheme="minorEastAsia" w:hAnsiTheme="minorEastAsia" w:eastAsiaTheme="minorEastAsia"/>
                <w:sz w:val="24"/>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创业技能训练</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tcMar>
              <w:left w:w="28" w:type="dxa"/>
              <w:right w:w="28"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人力资源、计划书等，需针对创新创业设计内容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创新思维方法</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训练学生创新思维能力，需结合创业教育设计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创业课程思政</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符合教育部教高〔</w:t>
            </w:r>
            <w:r>
              <w:rPr>
                <w:rFonts w:asciiTheme="minorEastAsia" w:hAnsiTheme="minorEastAsia" w:eastAsiaTheme="minorEastAsia"/>
                <w:sz w:val="24"/>
              </w:rPr>
              <w:t>2020〕3号《高等学校课程思政建设指导纲要》精神要求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创新创业大赛</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6095" w:type="dxa"/>
            <w:shd w:val="clear" w:color="auto" w:fill="auto"/>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针对创新创业大赛设计</w:t>
            </w:r>
          </w:p>
        </w:tc>
      </w:tr>
    </w:tbl>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）公共必修类课程数量不低于</w:t>
      </w:r>
      <w:r>
        <w:rPr>
          <w:rFonts w:asciiTheme="minorEastAsia" w:hAnsiTheme="minorEastAsia" w:eastAsiaTheme="minorEastAsia"/>
          <w:sz w:val="24"/>
        </w:rPr>
        <w:t>20门，且需要满足以下要求。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5"/>
        <w:gridCol w:w="1090"/>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备选门数</w:t>
            </w:r>
          </w:p>
        </w:tc>
        <w:tc>
          <w:tcPr>
            <w:tcW w:w="6095"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劳动教育</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3</w:t>
            </w:r>
          </w:p>
        </w:tc>
        <w:tc>
          <w:tcPr>
            <w:tcW w:w="6095"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至少</w:t>
            </w:r>
            <w:r>
              <w:rPr>
                <w:rFonts w:asciiTheme="minorEastAsia" w:hAnsiTheme="minorEastAsia" w:eastAsiaTheme="minorEastAsia"/>
                <w:sz w:val="24"/>
              </w:rPr>
              <w:t>2门课程来自中华全国总工会直属高校，以劳动精神、劳模精神、工匠精神为主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大学体育</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6095"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介绍不低于</w:t>
            </w:r>
            <w:r>
              <w:rPr>
                <w:rFonts w:asciiTheme="minorEastAsia" w:hAnsiTheme="minorEastAsia" w:eastAsiaTheme="minorEastAsia"/>
                <w:sz w:val="24"/>
              </w:rPr>
              <w:t>15种运动项目，教师应有省队及以上团队正式执教经历或取得过世界级比赛奖项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习思想</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内容覆盖全面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国家安全教育</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6095"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需全面覆盖教育部教材〔</w:t>
            </w:r>
            <w:r>
              <w:rPr>
                <w:rFonts w:asciiTheme="minorEastAsia" w:hAnsiTheme="minorEastAsia" w:eastAsiaTheme="minorEastAsia"/>
                <w:sz w:val="24"/>
              </w:rPr>
              <w:t>2020〕5号通知《大中小学国家安全教育指导纲要》大学阶段知识要点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大学基础课</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4</w:t>
            </w:r>
          </w:p>
        </w:tc>
        <w:tc>
          <w:tcPr>
            <w:tcW w:w="6095"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至少包含大学语文、高等数学、大学物理、大学计算机四门课程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shd w:val="clear" w:color="auto" w:fill="auto"/>
            <w:vAlign w:val="cente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军事理论</w:t>
            </w:r>
          </w:p>
        </w:tc>
        <w:tc>
          <w:tcPr>
            <w:tcW w:w="1134" w:type="dxa"/>
            <w:shd w:val="clear" w:color="auto" w:fill="auto"/>
            <w:tcMar>
              <w:left w:w="28" w:type="dxa"/>
              <w:right w:w="28" w:type="dxa"/>
            </w:tcMar>
            <w:vAlign w:val="cente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6095" w:type="dxa"/>
            <w:shd w:val="clear" w:color="auto" w:fill="auto"/>
            <w:tcMar>
              <w:left w:w="0" w:type="dxa"/>
              <w:right w:w="0" w:type="dxa"/>
            </w:tcMar>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需覆盖教育部教体艺〔</w:t>
            </w:r>
            <w:r>
              <w:rPr>
                <w:rFonts w:asciiTheme="minorEastAsia" w:hAnsiTheme="minorEastAsia" w:eastAsiaTheme="minorEastAsia"/>
                <w:sz w:val="24"/>
              </w:rPr>
              <w:t>2019〕1号《普通高等学校军事课教学大纲》所有军事理论部分教学内容</w:t>
            </w:r>
          </w:p>
        </w:tc>
      </w:tr>
    </w:tbl>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6）考研辅导类课程数量不低于5</w:t>
      </w:r>
      <w:r>
        <w:rPr>
          <w:rFonts w:hint="eastAsia" w:asciiTheme="minorEastAsia" w:hAnsiTheme="minorEastAsia" w:eastAsiaTheme="minorEastAsia"/>
          <w:sz w:val="24"/>
        </w:rPr>
        <w:t>门，且需要满足以下要求。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092"/>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1134"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备选数量</w:t>
            </w:r>
          </w:p>
        </w:tc>
        <w:tc>
          <w:tcPr>
            <w:tcW w:w="5783"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考研数学</w:t>
            </w:r>
          </w:p>
        </w:tc>
        <w:tc>
          <w:tcPr>
            <w:tcW w:w="1134"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5783" w:type="dxa"/>
            <w:shd w:val="clear" w:color="auto" w:fill="auto"/>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内容针对考研设计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考研英语</w:t>
            </w:r>
          </w:p>
        </w:tc>
        <w:tc>
          <w:tcPr>
            <w:tcW w:w="1134"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783" w:type="dxa"/>
            <w:shd w:val="clear" w:color="auto" w:fill="auto"/>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内容针对考研设计，每年更新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考研政治</w:t>
            </w:r>
          </w:p>
        </w:tc>
        <w:tc>
          <w:tcPr>
            <w:tcW w:w="1134"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783" w:type="dxa"/>
            <w:shd w:val="clear" w:color="auto" w:fill="auto"/>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内容针对考研设计，每年更新</w:t>
            </w:r>
          </w:p>
        </w:tc>
      </w:tr>
    </w:tbl>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7）专业</w:t>
      </w:r>
      <w:r>
        <w:rPr>
          <w:rFonts w:hint="eastAsia" w:asciiTheme="minorEastAsia" w:hAnsiTheme="minorEastAsia" w:eastAsiaTheme="minorEastAsia"/>
          <w:sz w:val="24"/>
        </w:rPr>
        <w:t>导学类课程数量不低于</w:t>
      </w:r>
      <w:r>
        <w:rPr>
          <w:rFonts w:asciiTheme="minorEastAsia" w:hAnsiTheme="minorEastAsia" w:eastAsiaTheme="minorEastAsia"/>
          <w:sz w:val="24"/>
        </w:rPr>
        <w:t>5</w:t>
      </w:r>
      <w:r>
        <w:rPr>
          <w:rFonts w:hint="eastAsia" w:asciiTheme="minorEastAsia" w:hAnsiTheme="minorEastAsia" w:eastAsiaTheme="minorEastAsia"/>
          <w:sz w:val="24"/>
        </w:rPr>
        <w:t>门，且需要满足以下要求。</w:t>
      </w:r>
    </w:p>
    <w:tbl>
      <w:tblPr>
        <w:tblStyle w:val="2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135"/>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82"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课程主题</w:t>
            </w:r>
          </w:p>
        </w:tc>
        <w:tc>
          <w:tcPr>
            <w:tcW w:w="1135"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备选数量</w:t>
            </w:r>
          </w:p>
        </w:tc>
        <w:tc>
          <w:tcPr>
            <w:tcW w:w="5780"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82"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理工类专业</w:t>
            </w:r>
          </w:p>
        </w:tc>
        <w:tc>
          <w:tcPr>
            <w:tcW w:w="1135"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1</w:t>
            </w:r>
          </w:p>
        </w:tc>
        <w:tc>
          <w:tcPr>
            <w:tcW w:w="5780" w:type="dxa"/>
            <w:shd w:val="clear" w:color="auto" w:fill="auto"/>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针对具体专业开设，非多专业通用资源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982"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人文类专业</w:t>
            </w:r>
          </w:p>
        </w:tc>
        <w:tc>
          <w:tcPr>
            <w:tcW w:w="1135"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780" w:type="dxa"/>
            <w:shd w:val="clear" w:color="auto" w:fill="auto"/>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针对具体专业开设，非多专业通用资源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82" w:type="dxa"/>
            <w:shd w:val="clear" w:color="auto" w:fill="auto"/>
          </w:tcPr>
          <w:p>
            <w:pPr>
              <w:spacing w:line="440" w:lineRule="exact"/>
              <w:jc w:val="center"/>
              <w:rPr>
                <w:rFonts w:asciiTheme="minorEastAsia" w:hAnsiTheme="minorEastAsia" w:eastAsiaTheme="minorEastAsia"/>
                <w:sz w:val="24"/>
              </w:rPr>
            </w:pPr>
            <w:r>
              <w:rPr>
                <w:rFonts w:hint="eastAsia" w:asciiTheme="minorEastAsia" w:hAnsiTheme="minorEastAsia" w:eastAsiaTheme="minorEastAsia"/>
                <w:sz w:val="24"/>
              </w:rPr>
              <w:t>社科类专业</w:t>
            </w:r>
          </w:p>
        </w:tc>
        <w:tc>
          <w:tcPr>
            <w:tcW w:w="1135" w:type="dxa"/>
            <w:shd w:val="clear" w:color="auto" w:fill="auto"/>
            <w:tcMar>
              <w:left w:w="28" w:type="dxa"/>
              <w:right w:w="28" w:type="dxa"/>
            </w:tcMar>
          </w:tcPr>
          <w:p>
            <w:pPr>
              <w:spacing w:line="440" w:lineRule="exact"/>
              <w:jc w:val="center"/>
              <w:rPr>
                <w:rFonts w:asciiTheme="minorEastAsia" w:hAnsiTheme="minorEastAsia" w:eastAsiaTheme="minorEastAsia"/>
                <w:sz w:val="24"/>
              </w:rPr>
            </w:pPr>
            <w:r>
              <w:rPr>
                <w:rFonts w:asciiTheme="minorEastAsia" w:hAnsiTheme="minorEastAsia" w:eastAsiaTheme="minorEastAsia"/>
                <w:sz w:val="24"/>
              </w:rPr>
              <w:t>2</w:t>
            </w:r>
          </w:p>
        </w:tc>
        <w:tc>
          <w:tcPr>
            <w:tcW w:w="5780" w:type="dxa"/>
            <w:shd w:val="clear" w:color="auto" w:fill="auto"/>
          </w:tcPr>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针对具体专业开设，非多专业通用资源</w:t>
            </w:r>
          </w:p>
        </w:tc>
      </w:tr>
    </w:tbl>
    <w:p>
      <w:pPr>
        <w:spacing w:after="0" w:line="195" w:lineRule="exact"/>
      </w:pPr>
    </w:p>
    <w:p>
      <w:pPr>
        <w:wordWrap w:val="0"/>
        <w:spacing w:before="243" w:after="243"/>
        <w:outlineLvl w:val="1"/>
      </w:pPr>
      <w:r>
        <w:rPr>
          <w:rFonts w:ascii="宋体" w:hAnsi="宋体" w:eastAsia="宋体" w:cs="宋体"/>
          <w:b/>
          <w:color w:val="000000"/>
          <w:sz w:val="28"/>
        </w:rPr>
        <w:t>二、技术参数（标准）</w:t>
      </w:r>
    </w:p>
    <w:p>
      <w:pPr>
        <w:wordWrap w:val="0"/>
        <w:spacing w:line="431" w:lineRule="exact"/>
      </w:pPr>
      <w:r>
        <w:rPr>
          <w:rFonts w:ascii="宋体" w:hAnsi="宋体" w:eastAsia="宋体" w:cs="宋体"/>
          <w:b/>
          <w:color w:val="000000"/>
          <w:sz w:val="24"/>
        </w:rPr>
        <w:t>1产品内容要求</w:t>
      </w:r>
    </w:p>
    <w:p>
      <w:pPr>
        <w:wordWrap w:val="0"/>
        <w:spacing w:line="431" w:lineRule="exact"/>
        <w:ind w:firstLine="482" w:firstLineChars="200"/>
      </w:pPr>
      <w:r>
        <w:rPr>
          <w:rFonts w:ascii="宋体" w:hAnsi="宋体" w:eastAsia="宋体" w:cs="宋体"/>
          <w:b/>
          <w:color w:val="000000"/>
          <w:sz w:val="24"/>
        </w:rPr>
        <w:t>1.1通识课程与资源</w:t>
      </w:r>
    </w:p>
    <w:p>
      <w:pPr>
        <w:wordWrap w:val="0"/>
        <w:spacing w:line="431" w:lineRule="exact"/>
        <w:ind w:left="330" w:leftChars="150" w:firstLine="482" w:firstLineChars="200"/>
      </w:pPr>
      <w:r>
        <w:rPr>
          <w:rFonts w:ascii="宋体" w:hAnsi="宋体" w:eastAsia="宋体" w:cs="宋体"/>
          <w:b/>
          <w:color w:val="000000"/>
          <w:sz w:val="24"/>
        </w:rPr>
        <w:t>1.1.1课程类型与数量</w:t>
      </w:r>
    </w:p>
    <w:p>
      <w:pPr>
        <w:wordWrap w:val="0"/>
        <w:spacing w:line="360" w:lineRule="auto"/>
        <w:rPr>
          <w:sz w:val="24"/>
          <w:szCs w:val="24"/>
        </w:rPr>
      </w:pPr>
      <w:r>
        <w:rPr>
          <w:rFonts w:ascii="宋体" w:hAnsi="宋体" w:eastAsia="宋体" w:cs="宋体"/>
          <w:color w:val="000000"/>
          <w:sz w:val="24"/>
          <w:szCs w:val="24"/>
        </w:rPr>
        <w:t>（1）课程内容需覆盖综合知识类、个人能力类、个人成长类、创新创业类、公共必修类、考研辅导类、专业导学类、积分式学习类、开学教育类等9个类型。</w:t>
      </w:r>
    </w:p>
    <w:p>
      <w:pPr>
        <w:wordWrap w:val="0"/>
        <w:spacing w:line="360" w:lineRule="auto"/>
        <w:rPr>
          <w:sz w:val="24"/>
          <w:szCs w:val="24"/>
        </w:rPr>
      </w:pPr>
      <w:r>
        <w:rPr>
          <w:rFonts w:ascii="宋体" w:hAnsi="宋体" w:eastAsia="宋体" w:cs="宋体"/>
          <w:color w:val="000000"/>
          <w:sz w:val="24"/>
          <w:szCs w:val="24"/>
        </w:rPr>
        <w:t>（2）课程总量不低于550门。其中，综合知识类课程不低于350门，个人能力类课程不低于50门，个人成长类课程数量不低于20门，创新创业类课程数量不低于20门，公共必修类课程数量不低于20门，考研辅导类课程数量不低于6门，专业导学类课程数量不低于6门，知识点自选类不低于10门。需提供具体课程清单备查。</w:t>
      </w:r>
    </w:p>
    <w:p>
      <w:pPr>
        <w:wordWrap w:val="0"/>
        <w:spacing w:line="360" w:lineRule="auto"/>
        <w:ind w:firstLine="480" w:firstLineChars="200"/>
        <w:rPr>
          <w:sz w:val="24"/>
          <w:szCs w:val="24"/>
        </w:rPr>
      </w:pPr>
      <w:r>
        <w:rPr>
          <w:rFonts w:ascii="宋体" w:hAnsi="宋体" w:eastAsia="宋体" w:cs="宋体"/>
          <w:color w:val="000000"/>
          <w:sz w:val="24"/>
          <w:szCs w:val="24"/>
        </w:rPr>
        <w:t>具体每个分类主要内容如下。</w:t>
      </w:r>
    </w:p>
    <w:p>
      <w:pPr>
        <w:wordWrap w:val="0"/>
        <w:spacing w:line="360" w:lineRule="auto"/>
        <w:ind w:left="330" w:leftChars="150"/>
        <w:rPr>
          <w:sz w:val="24"/>
          <w:szCs w:val="24"/>
        </w:rPr>
      </w:pPr>
      <w:r>
        <w:rPr>
          <w:rFonts w:ascii="宋体" w:hAnsi="宋体" w:eastAsia="宋体" w:cs="宋体"/>
          <w:color w:val="000000"/>
          <w:sz w:val="24"/>
          <w:szCs w:val="24"/>
        </w:rPr>
        <w:t>•综合知识类：以知识性内容讲授为主，包含中外历史、中西哲学、中外文学艺术、科学技术、经济管理与社会、国学等内容。</w:t>
      </w:r>
    </w:p>
    <w:p>
      <w:pPr>
        <w:wordWrap w:val="0"/>
        <w:spacing w:line="360" w:lineRule="auto"/>
        <w:ind w:left="330" w:leftChars="150"/>
        <w:rPr>
          <w:sz w:val="24"/>
          <w:szCs w:val="24"/>
        </w:rPr>
      </w:pPr>
      <w:r>
        <w:rPr>
          <w:rFonts w:ascii="宋体" w:hAnsi="宋体" w:eastAsia="宋体" w:cs="宋体"/>
          <w:color w:val="000000"/>
          <w:sz w:val="24"/>
          <w:szCs w:val="24"/>
        </w:rPr>
        <w:t>•个人能力类：以个人技能能力培养为主，包含自我管理能力、思维模式建立、人际沟通表达、团队组织管理、信息素养与外语、职业规划发展等内容。</w:t>
      </w:r>
    </w:p>
    <w:p>
      <w:pPr>
        <w:wordWrap w:val="0"/>
        <w:spacing w:line="360" w:lineRule="auto"/>
        <w:ind w:left="330" w:leftChars="150"/>
        <w:rPr>
          <w:sz w:val="24"/>
          <w:szCs w:val="24"/>
        </w:rPr>
      </w:pPr>
      <w:r>
        <w:rPr>
          <w:rFonts w:ascii="宋体" w:hAnsi="宋体" w:eastAsia="宋体" w:cs="宋体"/>
          <w:color w:val="000000"/>
          <w:sz w:val="24"/>
          <w:szCs w:val="24"/>
        </w:rPr>
        <w:t>•个人成长类：以大学生的身心健康发展为导向,包含安全意识、生理健康、心理健康、职业规划、公民素质等领域。</w:t>
      </w:r>
    </w:p>
    <w:p>
      <w:pPr>
        <w:wordWrap w:val="0"/>
        <w:spacing w:line="360" w:lineRule="auto"/>
        <w:ind w:left="330" w:leftChars="150"/>
        <w:rPr>
          <w:sz w:val="24"/>
          <w:szCs w:val="24"/>
        </w:rPr>
      </w:pPr>
      <w:r>
        <w:rPr>
          <w:rFonts w:ascii="宋体" w:hAnsi="宋体" w:eastAsia="宋体" w:cs="宋体"/>
          <w:color w:val="000000"/>
          <w:sz w:val="24"/>
          <w:szCs w:val="24"/>
        </w:rPr>
        <w:t>•创新创业类：紧扣国家政策，围绕提高大学生创新创业实战能力的目标，构建包括必修和选修、基础和进阶、理论与实战的创新创业课程体系。</w:t>
      </w:r>
    </w:p>
    <w:p>
      <w:pPr>
        <w:wordWrap w:val="0"/>
        <w:spacing w:line="360" w:lineRule="auto"/>
        <w:ind w:left="330" w:leftChars="150"/>
        <w:rPr>
          <w:sz w:val="24"/>
          <w:szCs w:val="24"/>
        </w:rPr>
      </w:pPr>
      <w:r>
        <w:rPr>
          <w:rFonts w:ascii="宋体" w:hAnsi="宋体" w:eastAsia="宋体" w:cs="宋体"/>
          <w:color w:val="000000"/>
          <w:sz w:val="24"/>
          <w:szCs w:val="24"/>
        </w:rPr>
        <w:t>•公共必修类：收录教育部规定的高校必修科目,包括公共基础课、军事理论、国家安全、劳动教育等。</w:t>
      </w:r>
    </w:p>
    <w:p>
      <w:pPr>
        <w:wordWrap w:val="0"/>
        <w:spacing w:line="360" w:lineRule="auto"/>
        <w:ind w:left="330" w:leftChars="150"/>
        <w:rPr>
          <w:sz w:val="24"/>
          <w:szCs w:val="24"/>
        </w:rPr>
      </w:pPr>
      <w:r>
        <w:rPr>
          <w:rFonts w:ascii="宋体" w:hAnsi="宋体" w:eastAsia="宋体" w:cs="宋体"/>
          <w:color w:val="000000"/>
          <w:sz w:val="24"/>
          <w:szCs w:val="24"/>
        </w:rPr>
        <w:t>•考研辅导类：覆盖研究生考试必考的英语、数学、政治三类课程，辅助学生毕业后个人长期发展与深造。</w:t>
      </w:r>
    </w:p>
    <w:p>
      <w:pPr>
        <w:wordWrap w:val="0"/>
        <w:spacing w:line="360" w:lineRule="auto"/>
        <w:ind w:left="330" w:leftChars="150"/>
        <w:rPr>
          <w:sz w:val="24"/>
          <w:szCs w:val="24"/>
        </w:rPr>
      </w:pPr>
      <w:r>
        <w:rPr>
          <w:rFonts w:ascii="宋体" w:hAnsi="宋体" w:eastAsia="宋体" w:cs="宋体"/>
          <w:color w:val="000000"/>
          <w:sz w:val="24"/>
          <w:szCs w:val="24"/>
        </w:rPr>
        <w:t>•专业导学类：专业导学课主要针对入学新生，向学生介绍所在类型专业的基本介绍、学业规划、升学建议、就业指导、创业教育、经验分享等内容。</w:t>
      </w:r>
    </w:p>
    <w:p>
      <w:pPr>
        <w:wordWrap w:val="0"/>
        <w:spacing w:line="360" w:lineRule="auto"/>
        <w:ind w:left="330" w:leftChars="150"/>
        <w:rPr>
          <w:sz w:val="24"/>
          <w:szCs w:val="24"/>
        </w:rPr>
      </w:pPr>
      <w:r>
        <w:rPr>
          <w:rFonts w:ascii="宋体" w:hAnsi="宋体" w:eastAsia="宋体" w:cs="宋体"/>
          <w:color w:val="000000"/>
          <w:sz w:val="24"/>
          <w:szCs w:val="24"/>
        </w:rPr>
        <w:t>•积分式学习类：以知识大类为课程划分依据，以知识点为学习单元，以积分制为考核形式，覆盖历史、文学、艺术、科学、社会、技能等不同领域。</w:t>
      </w:r>
    </w:p>
    <w:p>
      <w:pPr>
        <w:wordWrap w:val="0"/>
        <w:spacing w:line="360" w:lineRule="auto"/>
        <w:ind w:left="330" w:leftChars="150"/>
        <w:rPr>
          <w:sz w:val="24"/>
          <w:szCs w:val="24"/>
        </w:rPr>
      </w:pPr>
      <w:r>
        <w:rPr>
          <w:rFonts w:ascii="宋体" w:hAnsi="宋体" w:eastAsia="宋体" w:cs="宋体"/>
          <w:color w:val="000000"/>
          <w:sz w:val="24"/>
          <w:szCs w:val="24"/>
        </w:rPr>
        <w:t>•开学教育类：整合每学期开学前后一段时间内的热点问题及学生在大学阶段应该培养的态度与方法，以主题讲座的形式开展课程。</w:t>
      </w:r>
    </w:p>
    <w:p>
      <w:pPr>
        <w:wordWrap w:val="0"/>
        <w:spacing w:line="431" w:lineRule="exact"/>
        <w:ind w:left="330" w:leftChars="150" w:firstLine="482" w:firstLineChars="200"/>
      </w:pPr>
      <w:r>
        <w:rPr>
          <w:rFonts w:ascii="宋体" w:hAnsi="宋体" w:eastAsia="宋体" w:cs="宋体"/>
          <w:b/>
          <w:color w:val="000000"/>
          <w:sz w:val="24"/>
        </w:rPr>
        <w:t>1.1.2重点课程类型要求</w:t>
      </w:r>
    </w:p>
    <w:p>
      <w:pPr>
        <w:wordWrap w:val="0"/>
        <w:spacing w:line="378" w:lineRule="exact"/>
        <w:ind w:firstLine="480" w:firstLineChars="200"/>
        <w:rPr>
          <w:sz w:val="24"/>
          <w:szCs w:val="24"/>
        </w:rPr>
      </w:pPr>
      <w:r>
        <w:rPr>
          <w:rFonts w:ascii="宋体" w:hAnsi="宋体" w:eastAsia="宋体" w:cs="宋体"/>
          <w:color w:val="000000"/>
          <w:sz w:val="24"/>
          <w:szCs w:val="24"/>
        </w:rPr>
        <w:t>为了满足学校开课需求，提供课程应包含以下所有重点课程类型。供应商应提供具体课程清单备查，内容要求中明确提到需要其他证明材料的应一并提供。</w:t>
      </w:r>
    </w:p>
    <w:p>
      <w:pPr>
        <w:wordWrap w:val="0"/>
        <w:spacing w:line="378" w:lineRule="exact"/>
        <w:rPr>
          <w:sz w:val="24"/>
          <w:szCs w:val="24"/>
        </w:rPr>
      </w:pPr>
      <w:r>
        <w:rPr>
          <w:rFonts w:ascii="宋体" w:hAnsi="宋体" w:eastAsia="宋体" w:cs="宋体"/>
          <w:color w:val="000000"/>
          <w:sz w:val="24"/>
          <w:szCs w:val="24"/>
        </w:rPr>
        <w:t>▲（1）美育课程：需包含教育部教体艺厅〔2006〕3号文件中《全国普通高等学校公共艺术课程指导方案》规定的《艺术导论》《音乐鉴赏》《美术鉴赏》《影视鉴赏》《戏剧鉴赏》《舞蹈鉴赏》《书法鉴赏》《戏曲鉴赏》等8门课程且课程名称保持一致。</w:t>
      </w:r>
    </w:p>
    <w:p>
      <w:pPr>
        <w:wordWrap w:val="0"/>
        <w:spacing w:line="378" w:lineRule="exact"/>
        <w:rPr>
          <w:sz w:val="24"/>
          <w:szCs w:val="24"/>
        </w:rPr>
      </w:pPr>
      <w:r>
        <w:rPr>
          <w:rFonts w:ascii="宋体" w:hAnsi="宋体" w:eastAsia="宋体" w:cs="宋体"/>
          <w:color w:val="000000"/>
          <w:sz w:val="24"/>
          <w:szCs w:val="24"/>
        </w:rPr>
        <w:t>（2）经典导读：覆盖哲学、历史、文学、社会、科学、国学各领域经典，每门课程只导读1本著作。总量不少于25门。</w:t>
      </w:r>
    </w:p>
    <w:p>
      <w:pPr>
        <w:wordWrap w:val="0"/>
        <w:spacing w:line="378" w:lineRule="exact"/>
        <w:rPr>
          <w:sz w:val="24"/>
          <w:szCs w:val="24"/>
        </w:rPr>
      </w:pPr>
      <w:r>
        <w:rPr>
          <w:rFonts w:ascii="宋体" w:hAnsi="宋体" w:eastAsia="宋体" w:cs="宋体"/>
          <w:color w:val="000000"/>
          <w:sz w:val="24"/>
          <w:szCs w:val="24"/>
        </w:rPr>
        <w:t>（3）学术写作与学术道德：针对中文论文写作、学术道德设计课程。总量不少于5门。</w:t>
      </w:r>
    </w:p>
    <w:p>
      <w:pPr>
        <w:wordWrap w:val="0"/>
        <w:spacing w:line="378" w:lineRule="exact"/>
        <w:rPr>
          <w:sz w:val="24"/>
          <w:szCs w:val="24"/>
        </w:rPr>
      </w:pPr>
      <w:r>
        <w:rPr>
          <w:rFonts w:hint="eastAsia" w:ascii="宋体" w:hAnsi="宋体" w:eastAsia="宋体" w:cs="宋体"/>
          <w:color w:val="000000"/>
          <w:sz w:val="24"/>
          <w:szCs w:val="24"/>
        </w:rPr>
        <w:t>（4）信息检索与信息素养：应符合教科信函〔2021〕14号《教育部关于发布&lt;高等学校数字校园建设规范（试行）&gt;的通知》中对信息素养的要求。需提供课程大纲与教育部文件要求对比内容。</w:t>
      </w:r>
    </w:p>
    <w:p>
      <w:pPr>
        <w:wordWrap w:val="0"/>
        <w:spacing w:line="378" w:lineRule="exact"/>
        <w:rPr>
          <w:sz w:val="24"/>
          <w:szCs w:val="24"/>
        </w:rPr>
      </w:pPr>
      <w:r>
        <w:rPr>
          <w:rFonts w:ascii="宋体" w:hAnsi="宋体" w:eastAsia="宋体" w:cs="宋体"/>
          <w:color w:val="000000"/>
          <w:sz w:val="24"/>
          <w:szCs w:val="24"/>
        </w:rPr>
        <w:t>（5）健康教育：符合教育部教体艺〔2017〕5号《普通高等学校健康教育指导纲要》内容要求，课程团队至少包含1名相关领域院士。需提供课程大纲与教育部文件要求对比内容。</w:t>
      </w:r>
    </w:p>
    <w:p>
      <w:pPr>
        <w:wordWrap w:val="0"/>
        <w:spacing w:line="378" w:lineRule="exact"/>
        <w:rPr>
          <w:sz w:val="24"/>
          <w:szCs w:val="24"/>
        </w:rPr>
      </w:pPr>
      <w:r>
        <w:rPr>
          <w:rFonts w:ascii="宋体" w:hAnsi="宋体" w:eastAsia="宋体" w:cs="宋体"/>
          <w:color w:val="000000"/>
          <w:sz w:val="24"/>
          <w:szCs w:val="24"/>
        </w:rPr>
        <w:t>（6）心理健康：符合教育部教党〔2018〕41号《高等学校学生心理健康教育指导纲要》内容要求。需提供课程大纲与教育部文件要求对比内容。</w:t>
      </w:r>
    </w:p>
    <w:p>
      <w:pPr>
        <w:wordWrap w:val="0"/>
        <w:spacing w:line="378" w:lineRule="exact"/>
        <w:rPr>
          <w:sz w:val="24"/>
          <w:szCs w:val="24"/>
        </w:rPr>
      </w:pPr>
      <w:r>
        <w:rPr>
          <w:rFonts w:ascii="宋体" w:hAnsi="宋体" w:eastAsia="宋体" w:cs="宋体"/>
          <w:color w:val="000000"/>
          <w:sz w:val="24"/>
          <w:szCs w:val="24"/>
        </w:rPr>
        <w:t>（7）职业发展与就业指导：符合教育部教高厅〔2007〕7号《大学生职业发展与就业指导课程教学要求》内容要求，课程名称为《大学生职业发展与就业指导》。需提供课程大纲与教育部文件要求对比内容。</w:t>
      </w:r>
    </w:p>
    <w:p>
      <w:pPr>
        <w:wordWrap w:val="0"/>
        <w:spacing w:line="360" w:lineRule="auto"/>
        <w:rPr>
          <w:sz w:val="24"/>
          <w:szCs w:val="24"/>
        </w:rPr>
      </w:pPr>
      <w:r>
        <w:rPr>
          <w:rFonts w:ascii="宋体" w:hAnsi="宋体" w:eastAsia="宋体" w:cs="宋体"/>
          <w:color w:val="000000"/>
          <w:sz w:val="21"/>
        </w:rPr>
        <w:t>▲（8）</w:t>
      </w:r>
      <w:r>
        <w:rPr>
          <w:rFonts w:ascii="宋体" w:hAnsi="宋体" w:eastAsia="宋体" w:cs="宋体"/>
          <w:color w:val="000000"/>
          <w:sz w:val="24"/>
          <w:szCs w:val="24"/>
        </w:rPr>
        <w:t>创新创业：包含以下类型课程并符合对应要求：创业理论基础类（至少1门课授课教师应有教育部高等学校创业教育指导委员会委员经历，符合教高厅〔2012〕4号文件中《普通本科学校创业教育教学基本要求（试行）》中的内容要求）、创业案例访谈类（2门及以上，访谈人数合计不少于10人）、创新创业大赛辅导类（内容需针对创新创业大赛参赛设计）、创业技能训练类（覆盖创业阶段法律、人力资源、商业计划书、专利申报主题，每个主题对应至少1门课程）。</w:t>
      </w:r>
    </w:p>
    <w:p>
      <w:pPr>
        <w:wordWrap w:val="0"/>
        <w:spacing w:line="360" w:lineRule="auto"/>
        <w:rPr>
          <w:sz w:val="24"/>
          <w:szCs w:val="24"/>
        </w:rPr>
      </w:pPr>
      <w:r>
        <w:rPr>
          <w:rFonts w:ascii="宋体" w:hAnsi="宋体" w:eastAsia="宋体" w:cs="宋体"/>
          <w:color w:val="000000"/>
          <w:sz w:val="24"/>
          <w:szCs w:val="24"/>
        </w:rPr>
        <w:t>（9）劳动教育：至少2门课程来自中华全国总工会直属高校，以劳动知识、劳模精神、工匠精神为主。总量不少于5门。课单中需体现教师工作单位信息。</w:t>
      </w:r>
    </w:p>
    <w:p>
      <w:pPr>
        <w:wordWrap w:val="0"/>
        <w:spacing w:line="360" w:lineRule="auto"/>
        <w:rPr>
          <w:sz w:val="24"/>
          <w:szCs w:val="24"/>
        </w:rPr>
      </w:pPr>
      <w:r>
        <w:rPr>
          <w:rFonts w:ascii="宋体" w:hAnsi="宋体" w:eastAsia="宋体" w:cs="宋体"/>
          <w:color w:val="000000"/>
          <w:sz w:val="24"/>
          <w:szCs w:val="24"/>
        </w:rPr>
        <w:t>（10）大学体育：在1门课程中介绍不低于15种运动项目，以运动项目的技术、战术、规则为主，教师应有省队及以上团队正式执教经历或取得过世界级比赛奖项。</w:t>
      </w:r>
    </w:p>
    <w:p>
      <w:pPr>
        <w:wordWrap w:val="0"/>
        <w:spacing w:line="360" w:lineRule="auto"/>
        <w:rPr>
          <w:sz w:val="24"/>
          <w:szCs w:val="24"/>
        </w:rPr>
      </w:pPr>
      <w:r>
        <w:rPr>
          <w:rFonts w:ascii="宋体" w:hAnsi="宋体" w:eastAsia="宋体" w:cs="宋体"/>
          <w:color w:val="000000"/>
          <w:sz w:val="24"/>
          <w:szCs w:val="24"/>
        </w:rPr>
        <w:t>（11）军事理论与军事技能训练：需至少2门课程，分别对应教育部教体艺〔2019〕1号《普通高等学校军事课教学大纲》所有军事理论部分（文件第六条）内容与军事技能训练部分（文件第七条）内容。需提供课程大纲与教育部文件要求对比内容。</w:t>
      </w:r>
    </w:p>
    <w:p>
      <w:pPr>
        <w:wordWrap w:val="0"/>
        <w:spacing w:line="360" w:lineRule="auto"/>
        <w:rPr>
          <w:sz w:val="24"/>
          <w:szCs w:val="24"/>
        </w:rPr>
      </w:pPr>
      <w:r>
        <w:rPr>
          <w:rFonts w:ascii="宋体" w:hAnsi="宋体" w:eastAsia="宋体" w:cs="宋体"/>
          <w:color w:val="000000"/>
          <w:sz w:val="24"/>
          <w:szCs w:val="24"/>
        </w:rPr>
        <w:t>（12）国家安全教育：符合教育部教材〔2020〕5号通知中《大中小学国家安全教育指导纲要》中相关内容。</w:t>
      </w:r>
    </w:p>
    <w:p>
      <w:pPr>
        <w:wordWrap w:val="0"/>
        <w:spacing w:line="360" w:lineRule="auto"/>
        <w:rPr>
          <w:sz w:val="24"/>
          <w:szCs w:val="24"/>
        </w:rPr>
      </w:pPr>
      <w:r>
        <w:rPr>
          <w:rFonts w:ascii="宋体" w:hAnsi="宋体" w:eastAsia="宋体" w:cs="宋体"/>
          <w:color w:val="000000"/>
          <w:sz w:val="24"/>
          <w:szCs w:val="24"/>
        </w:rPr>
        <w:t>（13）示范必修课：针对大学生心理健康教育、劳动教育、创新创业基础、大学生健康教育、军事理论、大学生恋爱与性健康、大学生职业发展与就业指导、大学生国家安全教育、工程伦理、垃圾分类、习近平总书记关于教育的重要论述研究等11个公共必修性质的课程，需至少提供1门对应课程用于开展教学。</w:t>
      </w:r>
    </w:p>
    <w:p>
      <w:pPr>
        <w:wordWrap w:val="0"/>
        <w:spacing w:line="360" w:lineRule="auto"/>
        <w:rPr>
          <w:sz w:val="24"/>
          <w:szCs w:val="24"/>
        </w:rPr>
      </w:pPr>
      <w:r>
        <w:rPr>
          <w:rFonts w:ascii="宋体" w:hAnsi="宋体" w:eastAsia="宋体" w:cs="宋体"/>
          <w:color w:val="000000"/>
          <w:sz w:val="24"/>
          <w:szCs w:val="24"/>
        </w:rPr>
        <w:t>（14）考研培训：需覆盖考研数学、考研英语、考研政治三大类课程，针对考研进行设计，每科不少于2门。</w:t>
      </w:r>
    </w:p>
    <w:p>
      <w:pPr>
        <w:wordWrap w:val="0"/>
        <w:spacing w:line="360" w:lineRule="auto"/>
        <w:rPr>
          <w:sz w:val="24"/>
          <w:szCs w:val="24"/>
        </w:rPr>
      </w:pPr>
      <w:r>
        <w:rPr>
          <w:rFonts w:ascii="宋体" w:hAnsi="宋体" w:eastAsia="宋体" w:cs="宋体"/>
          <w:color w:val="000000"/>
          <w:sz w:val="24"/>
          <w:szCs w:val="24"/>
        </w:rPr>
        <w:t>（15）新生专业导学：至少覆盖理工类、人文类、社科类专业各2个，要求单门课程内容针对具体专业学习内容、就业方向等内容进行讲解，非多专业通用介绍或大学阶段学习方法等内容。</w:t>
      </w:r>
    </w:p>
    <w:p>
      <w:pPr>
        <w:wordWrap w:val="0"/>
        <w:spacing w:line="360" w:lineRule="auto"/>
        <w:rPr>
          <w:sz w:val="24"/>
          <w:szCs w:val="24"/>
        </w:rPr>
      </w:pPr>
      <w:r>
        <w:rPr>
          <w:rFonts w:ascii="宋体" w:hAnsi="宋体" w:eastAsia="宋体" w:cs="宋体"/>
          <w:color w:val="000000"/>
          <w:sz w:val="24"/>
          <w:szCs w:val="24"/>
        </w:rPr>
        <w:t>（16）积分式学习类课程：需包含历史文明、文学导读、经济管理、科学技术、哲学智慧、华夏文化、美育、劳动教育、身心健康、人际沟通、职场技能、高效管理、创造创新等主题，总数不少于15门。</w:t>
      </w:r>
    </w:p>
    <w:p>
      <w:pPr>
        <w:wordWrap w:val="0"/>
        <w:spacing w:line="360" w:lineRule="auto"/>
        <w:rPr>
          <w:sz w:val="24"/>
          <w:szCs w:val="24"/>
        </w:rPr>
      </w:pPr>
      <w:r>
        <w:rPr>
          <w:rFonts w:ascii="宋体" w:hAnsi="宋体" w:eastAsia="宋体" w:cs="宋体"/>
          <w:color w:val="000000"/>
          <w:sz w:val="24"/>
          <w:szCs w:val="24"/>
        </w:rPr>
        <w:t>（17）开学教育：课程内容面向所有年级在校学生，以大学生在大学阶段应掌握的身心健康知识、国家重大政策方针、大学阶段必备能力技能为主。</w:t>
      </w:r>
    </w:p>
    <w:p>
      <w:pPr>
        <w:wordWrap w:val="0"/>
        <w:spacing w:line="431" w:lineRule="exact"/>
        <w:ind w:left="330" w:leftChars="150" w:firstLine="482" w:firstLineChars="200"/>
      </w:pPr>
      <w:r>
        <w:rPr>
          <w:rFonts w:ascii="宋体" w:hAnsi="宋体" w:eastAsia="宋体" w:cs="宋体"/>
          <w:b/>
          <w:color w:val="000000"/>
          <w:sz w:val="24"/>
        </w:rPr>
        <w:t>1.1.3课程资源要求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阅读资源：每门课程需提供独立的拓展阅读功能模块，不得作为课程章节中插入的资料、文本形式提供。提供的阅读资源应包含片段阅读和全本阅读两种类型。课程主题不同时，应提供不同主题的阅读资源，每个主题下再根据具体内容细分为若干二级分类。每个主题不少于200条阅读资源，所有主题累计资源不少于4000条。需提供各主题下资源数量清单备查。</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配套题库：综合知识类、个人能力类、个人成长类、创新创业类、公共必修类课程中，题库应包括单选题、多选题、判断题、填空题、简答题等五种题型。课程视频数量多于20个的，每门课程配套题库题目数量应不少于100道。教育主管部门相关政策另有规定时以具体规定为准。如课程内容不适合出简答、填空等主观题的，可以暂不设置，但此类课程占总课程数量不得超过2%，此类课程题库总量不做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期末考试：需提供难、中、易三种难度期末试卷供用户选择。难度为“易”的试卷需包括单选题、多选题、判断题三种题型；难度为“中”的试卷需包括单选题、多选题、判断题、填空题四种题型；难度为“难”的试卷需包括单选题、多选题、判断题、填空题、简答题。教育主管部门相关政策另有规定时以具体规定为准。如课程内容不适合出简答、填空等主观题的，可以暂不设置，但此类课程占总课程数量不得超过2%。</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积分式学习类课程应至少包含视频、测验题、阅读材料等三类学习资源。每个主题课程中知识点数量不低于180个，其中包含不少于150个视频、300道测验题，20个阅读材料。每门课视频累计时长不少于2000分钟，所有测验题应为客观题，每个阅读材料不少于10000字。</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5）开学教育要求内容每学期更新。课程以直播形式开展，每次直播只讲授一个主题，时长不少于40分钟。直播视频中应体现“开学教育”“开学第一课”或类似的意思表述，直播需要可以查看学生评论发言时间用于证明直播时间。供应商需准备3个往期的直播链接备查。</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6）重点课程类型要求中的示范必修课应包含完整的教学视频、配套习题、教学PPT等内容。其中，ppt内容应符合教育部等主管部门公布的课程大纲要求，主管部门未公布课程大纲的，可参考相关领域权威高校课程内容。60%以上课程应配备教师教学培训视频。培训视频应由至少一名一线教师主讲或策划，结合具体课程内容，对观看者进行课程内容、课程设计等方面的引导。培训视频内容应针对一门课程内容进行开发，非通用教学理论或技能。</w:t>
      </w:r>
    </w:p>
    <w:p>
      <w:pPr>
        <w:wordWrap w:val="0"/>
        <w:spacing w:line="360" w:lineRule="auto"/>
        <w:ind w:left="330" w:leftChars="150" w:firstLine="482" w:firstLineChars="200"/>
        <w:rPr>
          <w:rFonts w:ascii="宋体" w:hAnsi="宋体" w:eastAsia="宋体" w:cs="宋体"/>
          <w:sz w:val="24"/>
          <w:szCs w:val="24"/>
        </w:rPr>
      </w:pPr>
      <w:r>
        <w:rPr>
          <w:rFonts w:hint="eastAsia" w:ascii="宋体" w:hAnsi="宋体" w:eastAsia="宋体" w:cs="宋体"/>
          <w:b/>
          <w:color w:val="000000"/>
          <w:sz w:val="24"/>
          <w:szCs w:val="24"/>
        </w:rPr>
        <w:t>1.1.4课程其他要求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师资情况：70%以上课程的教师团队应至少包含一名来自双一流高校、中国科学院、中国工程院、中国社会科学院等机构的教师。70%以上课程的教师团队应至少包含一名教授或同级别职称教师。需提供详细教师、对应职称、工作单位信息清单备查。</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（2）课程清单：供应商需提供包含所有备选课程的课程清单、课程简介列表、课程大纲。</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（3）供应商已解决课程版权事宜，不会给学校带来版权纠纷，不会因为相关争议影响学校正常使用，需提供投标课程的主讲教师授权协议或版权问题承诺书。</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（4）辅学资源：除知识点自选、开学教育类课程外，其他课程需另外提供包含与本门课程相关的图书及专题，以丰富学生的课外学习。每门课相关电子版参考文献至少10册，放在课程首页上进行展示。</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5）提供经典导读课配套纸质图书不少于2册，其他课程配套纸质图书不少于2册。图书均须为获得书号的正式出版物。供应商享有相关出版权利，图书封面、内页需明确体现供应商名称等信息。图书需提供出版社、网络书店销售链接，或提供实体图书备查。</w:t>
      </w:r>
    </w:p>
    <w:p>
      <w:pPr>
        <w:wordWrap w:val="0"/>
        <w:spacing w:line="360" w:lineRule="auto"/>
        <w:rPr>
          <w:rFonts w:ascii="宋体" w:hAnsi="宋体" w:eastAsia="宋体" w:cs="宋体"/>
          <w:sz w:val="24"/>
          <w:szCs w:val="24"/>
        </w:rPr>
      </w:pPr>
      <w:r>
        <w:rPr>
          <w:rFonts w:hint="eastAsia" w:ascii="宋体" w:hAnsi="宋体" w:eastAsia="宋体" w:cs="宋体"/>
          <w:b/>
          <w:color w:val="000000"/>
          <w:sz w:val="24"/>
          <w:szCs w:val="24"/>
        </w:rPr>
        <w:t>1.1  通识素养测评</w:t>
      </w:r>
    </w:p>
    <w:p>
      <w:pPr>
        <w:wordWrap w:val="0"/>
        <w:spacing w:line="360" w:lineRule="auto"/>
        <w:rPr>
          <w:rFonts w:ascii="宋体" w:hAnsi="宋体" w:eastAsia="宋体" w:cs="宋体"/>
          <w:sz w:val="24"/>
          <w:szCs w:val="24"/>
        </w:rPr>
      </w:pPr>
      <w:r>
        <w:rPr>
          <w:rFonts w:hint="eastAsia" w:ascii="宋体" w:hAnsi="宋体" w:eastAsia="宋体" w:cs="宋体"/>
          <w:b/>
          <w:color w:val="000000"/>
          <w:sz w:val="24"/>
          <w:szCs w:val="24"/>
        </w:rPr>
        <w:t>1.1.1．  测评体系要求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（1）测评体系应覆盖以下六个类别。</w:t>
      </w:r>
    </w:p>
    <w:p>
      <w:pPr>
        <w:wordWrap w:val="0"/>
        <w:spacing w:line="360" w:lineRule="auto"/>
        <w:ind w:left="330" w:leftChars="150"/>
        <w:rPr>
          <w:rFonts w:ascii="宋体" w:hAnsi="宋体" w:eastAsia="宋体" w:cs="宋体"/>
          <w:sz w:val="24"/>
          <w:szCs w:val="24"/>
        </w:rPr>
      </w:pPr>
      <w:r>
        <w:rPr>
          <w:rFonts w:hint="eastAsia" w:ascii="宋体" w:hAnsi="宋体" w:eastAsia="宋体" w:cs="宋体"/>
          <w:color w:val="000000"/>
          <w:sz w:val="24"/>
          <w:szCs w:val="24"/>
        </w:rPr>
        <w:t>•国学基础：以经典国学作品为基础，综合考察中国传统国学相关知识。主要包括中国古代哲学思想解读、古代经典作品内容与分析、古代礼仪与文明实际应用等内容。</w:t>
      </w:r>
    </w:p>
    <w:p>
      <w:pPr>
        <w:wordWrap w:val="0"/>
        <w:spacing w:line="360" w:lineRule="auto"/>
        <w:ind w:left="330" w:leftChars="150"/>
        <w:rPr>
          <w:rFonts w:ascii="宋体" w:hAnsi="宋体" w:eastAsia="宋体" w:cs="宋体"/>
          <w:sz w:val="24"/>
          <w:szCs w:val="24"/>
        </w:rPr>
      </w:pPr>
      <w:r>
        <w:rPr>
          <w:rFonts w:hint="eastAsia" w:ascii="宋体" w:hAnsi="宋体" w:eastAsia="宋体" w:cs="宋体"/>
          <w:color w:val="000000"/>
          <w:sz w:val="24"/>
          <w:szCs w:val="24"/>
        </w:rPr>
        <w:t>•科学技术：全方位剖析科学发展的历史及其精神内涵。考核数学、物理、化学、生物等领域的基础理论，以及神经、认知、材料、计算机、互联网等领域的最新进展情况。</w:t>
      </w:r>
    </w:p>
    <w:p>
      <w:pPr>
        <w:wordWrap w:val="0"/>
        <w:spacing w:line="360" w:lineRule="auto"/>
        <w:ind w:left="330" w:leftChars="150"/>
        <w:rPr>
          <w:rFonts w:ascii="宋体" w:hAnsi="宋体" w:eastAsia="宋体" w:cs="宋体"/>
          <w:sz w:val="24"/>
          <w:szCs w:val="24"/>
        </w:rPr>
      </w:pPr>
      <w:r>
        <w:rPr>
          <w:rFonts w:hint="eastAsia" w:ascii="宋体" w:hAnsi="宋体" w:eastAsia="宋体" w:cs="宋体"/>
          <w:color w:val="000000"/>
          <w:sz w:val="24"/>
          <w:szCs w:val="24"/>
        </w:rPr>
        <w:t>•社会管理：揭示经济活动的一般规律，不仅仅关注经济活动的一般表象，更能够深入考察经济活动背后的理论与实际运作。同时兼顾社会管理领域，解读管理活动的理论与内涵。</w:t>
      </w:r>
    </w:p>
    <w:p>
      <w:pPr>
        <w:wordWrap w:val="0"/>
        <w:spacing w:line="360" w:lineRule="auto"/>
        <w:ind w:left="330" w:leftChars="150"/>
        <w:rPr>
          <w:rFonts w:ascii="宋体" w:hAnsi="宋体" w:eastAsia="宋体" w:cs="宋体"/>
          <w:sz w:val="24"/>
          <w:szCs w:val="24"/>
        </w:rPr>
      </w:pPr>
      <w:r>
        <w:rPr>
          <w:rFonts w:hint="eastAsia" w:ascii="宋体" w:hAnsi="宋体" w:eastAsia="宋体" w:cs="宋体"/>
          <w:color w:val="000000"/>
          <w:sz w:val="24"/>
          <w:szCs w:val="24"/>
        </w:rPr>
        <w:t>•人类思想：探索人类信仰、法理、哲学等思想的发展历程及其产生的重大影响，能够从本质上揭示各种思想的异同。同时能够联结中西思想领域，以宏观视野对思想进行对比。</w:t>
      </w:r>
    </w:p>
    <w:p>
      <w:pPr>
        <w:wordWrap w:val="0"/>
        <w:spacing w:line="360" w:lineRule="auto"/>
        <w:ind w:left="330" w:leftChars="150"/>
        <w:rPr>
          <w:rFonts w:ascii="宋体" w:hAnsi="宋体" w:eastAsia="宋体" w:cs="宋体"/>
          <w:sz w:val="24"/>
          <w:szCs w:val="24"/>
        </w:rPr>
      </w:pPr>
      <w:r>
        <w:rPr>
          <w:rFonts w:hint="eastAsia" w:ascii="宋体" w:hAnsi="宋体" w:eastAsia="宋体" w:cs="宋体"/>
          <w:color w:val="000000"/>
          <w:sz w:val="24"/>
          <w:szCs w:val="24"/>
        </w:rPr>
        <w:t>•文学艺术：对人类自古至今的文学与艺术进行全面而适当的考核，囊括文学、音乐、绘画、建筑、雕塑、摄影等各个相关领域的主要作品、大师、事件。</w:t>
      </w:r>
    </w:p>
    <w:p>
      <w:pPr>
        <w:wordWrap w:val="0"/>
        <w:spacing w:line="360" w:lineRule="auto"/>
        <w:ind w:left="330" w:leftChars="150"/>
        <w:rPr>
          <w:rFonts w:ascii="宋体" w:hAnsi="宋体" w:eastAsia="宋体" w:cs="宋体"/>
          <w:sz w:val="24"/>
          <w:szCs w:val="24"/>
        </w:rPr>
      </w:pPr>
      <w:r>
        <w:rPr>
          <w:rFonts w:hint="eastAsia" w:ascii="宋体" w:hAnsi="宋体" w:eastAsia="宋体" w:cs="宋体"/>
          <w:color w:val="000000"/>
          <w:sz w:val="24"/>
          <w:szCs w:val="24"/>
        </w:rPr>
        <w:t>•历史文明：多维度展现世界各种文化的兴起与衰亡，剖析人类历史进程的关键转折点，发掘个人、组织、事件、环境等各个要素对整个人类文明演变产生的深远影响。</w:t>
      </w:r>
    </w:p>
    <w:p>
      <w:pPr>
        <w:wordWrap w:val="0"/>
        <w:spacing w:line="360" w:lineRule="auto"/>
        <w:ind w:firstLine="241" w:firstLineChars="100"/>
        <w:rPr>
          <w:rFonts w:ascii="宋体" w:hAnsi="宋体" w:eastAsia="宋体" w:cs="宋体"/>
          <w:sz w:val="24"/>
          <w:szCs w:val="24"/>
        </w:rPr>
      </w:pPr>
      <w:r>
        <w:rPr>
          <w:rFonts w:hint="eastAsia" w:ascii="宋体" w:hAnsi="宋体" w:eastAsia="宋体" w:cs="宋体"/>
          <w:b/>
          <w:color w:val="000000"/>
          <w:sz w:val="24"/>
          <w:szCs w:val="24"/>
        </w:rPr>
        <w:t>1.1.2．测评内容要求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（1）系统提供难、中、易三组试卷，由用户自主选择发放试卷的组别。每组试卷包含20套试卷，学生随机从中抽取1套试卷作答。允许多次作答时，每次作答去重新抽取试卷。</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用于组卷的测评题库不少于1000道单选题，包含文字题、图片题、音频题三个类型。其中测评体系中各门类不少于150道。测评题目每年更新数量需不低于200道。每道题目必须包含题目答案解析，能够明确解释题目考核相关知识点。需提供具体题目清单备查。</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推荐：测评完成后，必须在成绩分析页面推荐相关学习资料，帮助学生提高通识素养水平。要求推荐不少于6门相关课程及6本相关图书。学生应能够直接在测评系统内试看推荐的课程及图书。推荐的相关图书应能够直接阅读全文。</w:t>
      </w:r>
    </w:p>
    <w:p>
      <w:pPr>
        <w:wordWrap w:val="0"/>
        <w:spacing w:line="360" w:lineRule="auto"/>
        <w:ind w:firstLine="241" w:firstLineChars="100"/>
        <w:rPr>
          <w:rFonts w:ascii="宋体" w:hAnsi="宋体" w:eastAsia="宋体" w:cs="宋体"/>
          <w:sz w:val="24"/>
          <w:szCs w:val="24"/>
        </w:rPr>
      </w:pPr>
      <w:r>
        <w:rPr>
          <w:rFonts w:hint="eastAsia" w:ascii="宋体" w:hAnsi="宋体" w:eastAsia="宋体" w:cs="宋体"/>
          <w:b/>
          <w:color w:val="000000"/>
          <w:sz w:val="24"/>
          <w:szCs w:val="24"/>
        </w:rPr>
        <w:t>2平台技术要求</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2.1教务管理相关功能要求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供应商应提供校本化的通识教育电脑端门户网页，用于展示本校通识资源与教研成果，师生可在该页面登录系统并进行学习。门户应为本校通识教育相关工作专用的域名，不得与本校专业课课程平台共用同一域名或页面。</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（2）各站点数据支持独立存储、独立维护，保障各学校站点之间互不冲突。所有数据实时备份，保障数据安全。</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设置管理员、教师、学生三个用户角色并赋予不同用户权限：管理员可以添加、编辑、锁定、删除二级管理员、教师和学生账号；可以模拟教师和学生登录；教师可以在课程下添加和删除学生，后台数据同步更新。</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根据用户需求，教学平台应支持学生在教务系统选课后将选课数据导入平台，和直接在教学平台选课两种模式。直接选课时，学校可以根据需要限定每人选课门数、学分数上限以及每门课程选课人数上限；支持学生选课前试听课程；教师可设置是否自主选课，是否允许退选。</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（5）在任何运行模式下，管理员、教师均应有权自主设置本校课程开课、结课时间。开课后仍可以根据教学计划把变动随时修改。供应商不得规定统一的教学计划安排。</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（6）平台支持学生信息数据的统一导入与学习成绩的统一导出，提供数据模板。</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7）考核维度要求能根据学校需要统一预先设置，也能根据不同课程分别设置。积分式学习类课程可以考核以下所有操作行为：登录、视频观看时长、阅读时长、测验题、讨论、学习笔记、线下活动。其他课程考核应包含但不限于签到、音频/视频、作业、考试、阅读、直播、登录（访问）、线下成绩等维度。考核维度所占权重支持用户自定义设置，支持在整个学习流程中随时修改。其中，直播支持实时直播及回看功能，观看时长可来自实时直播或回看；阅读时将以正常翻页频率阅读的材料所消耗的时间记为学生的阅读时长。</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（8）积分式学习类课程中，支持在专用后台设置总积分、视频观看时长总积分、阅读时长总积分、测验题答题总积分的最低值，以及每日获得总积分、笔记每日积分、讨论每日积分的最大值。</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（9）采用多种手段对某一课程的教学效果进行在线实时统计，对班级成绩进行统计分析，对教师、学生行为进行统计分析，支持表单和图表样式显示结果，可以导出统计结果。</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2.2课程教学相关功能要求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（1）课程视频需支持开启或关闭闯关式教学。开启状态下，学生必须完成当前任务后方可进入下一章节，在取消闯关模式后学生可自由进行学习。</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（2）课程支持复习模式，允许学生自由学习课程内容。复习模式下观看视频、作答测验不记录学习成绩。</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平台支持在线学习监控功能。进入课程时要求学生拍照留存本次学习人员图像。视频观看过程中，按照预先设置开启摄像头并抓拍学习者图像。所有图像储存于系统后台，用于教师及校方调取图片确认是否为学生本人学习。系统可支持辅助判定功能，在教师或校方允许的情况下对比不同时间抓拍图像，并给出相似度分析，辅助提升判断效率。</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（4）学生在线学习课程时需支持进度记忆，支持防止拖拽、倍速观看，支持当前活动窗口探测、防止观看课程时进行其他活动。系统支持取消防拖拽、禁止倍速、当前窗口探测等功能。</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（5）支持课程视频中插入考题，学生必需回答正确才可继续观看，否则视频暂停播放。</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（6）除了平台课程自带题库外，需支持教师自主出题并批量上传至课程题库，支持批量下载。教师在编辑课程内容时可直接调取题库内容。</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（7）课程章节测验应支持高级设置功能，允许用户自主决定是否允许学生提交作业后查看答案、查看分数、查看对错情况，支持将题目设置为随机乱序，支持从指定题库中抽选特定数量题目要求学生作答。</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（8）在线考试支持网页端考试、手机端考试、电脑客户端考试。电脑客户端需提供非公开下载软件客户端，并设置客户端有效期。</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（9）考试过程中提供考试纪律监控相关技术支持，包括通过人像比对确保考生本人考试、通过摄像头抓拍实现过程监控、对学生切出考试页面进行提醒、题目及选项乱序等。</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（10）章节测验、考试中，客观题支持系统自动批阅；填空题可选自动批阅或人工自主批阅；除填空题以外的主观题由人工批阅。</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（11）拓展阅读功能模块，允许教师对阅读资源进行自定义分类、自主添加或删除阅读资源。自主添加的阅读资源考核办法应与系统默认资源考核办法一致。</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12）积分式学习类课程中，日常学习考核以积分制模式进行。学生从课程内的知识点中任意选择知识点进行学习，学生在系统内发生学习行为时，系统可以根据校方预先设置的分数值，自动记录其行为对应的分数。</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13）积分式学习类课程中，用户可自主选择是否设置期末考试。期末考试采取百分制形式，根据预先选定的知识点随机组卷进行考核。考核后分数与日常积分综合汇算为学生最终成绩。若不设置期末考试，积分达到预设条件后即可视为课程通过。无论是否有期末考试，学生是否学习过课程内所有知识点与学生是否可得满分无关。</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14）积分式学习类课程中，需支持搜索知识点功能，允许学生根据自身需求对知识点进行搜索，也可查看预先设置的推荐知识点、必学知识点。教师可根据实际教学需求，将特定知识点设置为推荐知识点或必学知识点，引导学生学习。</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（15）积分式学习类课程中，积分情况及计分规则需允许学生随时查看。支持学生查看个人学习记录，包括该次学习记录对应的知识点名称、学习时间、学习进度，方便学生随时继续学习或进行复习。</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（16）积分式学习类课程中，学习完一个知识点后，系统应根据学生所学知识点内容，推荐2个以上相关知识点供学生选择学习。</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（17）课程结束后，支持将班级、课程归档，归档后学生无法继续查看课程内容及数据。班级、课程归档后可随时恢复或彻底删除。</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2.3测评功能要求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（1）测评功能应和课程学习功能整合在同一个APP内。测评首页上应包含测评入口及个人数据查看入口。</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（2）测评完成后，需允许学生在线查看个人测评报告。报告中需要包括测评内容体系各门类的详细分数、成绩评价、全校对比情况，要能够回看学生历次测评结果。</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学校测评报告：测评结束后，需向学校提供详尽完整的《通识素养提升解决方案》。该解决方案需要分年级、学院、内容体系维度等方面对学生数据进行分析，并且针对学校的开课清单、通识资源建设、教学改革方面提出合理化建议。</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（4）测评应提供本校专用的后台功能模块配置在课程平台的管理后台中。后台具体功能应包含题库管理、组卷与发放、测评情况管理、参与数据分析查询、成绩数据导出等功能。</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5）系统支持用户根据实际需求自建测评。用户可在管理后台通过相应模块创建题库、试卷。创建测评题库时，支持用户自定义测评内容维度、题库内容。创建测评试卷时，可自定义抽取题目数量、抽取题目难易度配比、答题时间。</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（6）后台数据导出功能需支持导出学生每次测评的提交时间、最终成绩、每道题目的答题情况等详细数据。</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（7）如自定义了测评维度，学生测评报告页面应显示自定义后的维度；校方测评报告中相应的分析也要进行同步修改。</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2.4平台拓展功能要求</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（1）APP端需支持iOS和安卓两个平台，实现在线移动教学功能。移动端与PC端学习进度、学习数据、教学管控功能保持一致，教师可以对课程和学生进行统一管理。</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（2）教师可发布各种通知，并实时推送到学生的各个终端；系统记录通知阅读情况，教师可在线查看。学生可在收件箱中查看所有通知。</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（3）电脑端学习空间、APP端首页可集成供应商及第三方个性化信息与应用。学校可根据本校需要配置首页展示的应用及个人空间中的应用。</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支持云盘功能，可以将文件上传至云盘中，随时随地进行下载，并可以在课程建设时引用云盘的资源。提供PC版客户端，可以设定一个文件夹，文件夹内容自动与云盘内容保持同步，方便批量上传资源，并且可以实现断点续传，保证每份上传资源的完整性。</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5）支持混合式教学，APP端或电脑端需提供的教学工具包括以下所有功能：投票、选人、抢答、讨论、测验、问卷、评分、分组任务、计时器、直播、白板。支持通过APP端投屏功能把课程相关图片、视频资源直接在投屏上展示。主题讨论支持学生添加图片、支持学生答案投屏显示、支持对学生答案进行语义分析并提取关键词在屏幕上以词云形式展现结果。</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（6）允许教师发放签到，统计上课学生数。签到需包含普通签到、位置签到、手势签到、二维码签到等4种签到模式。</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（7）支持用户基于学习进行社交，支持学习动态分享，支持跨校交流，支持用户自由组建基于学习或兴趣的小组或社区。</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（8）支持学习笔记管理、编辑、分享，支持笔记文件夹共享，支持相互评论和转发。</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3.运行服务要求</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3.1技术服务支持</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（1）具备保障本校校内10000人同时在线学习的运营服务能力。供应商应提供承诺书。</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（2）支持云服务、混合部署等部署方式，确保视频访问时提供校园网与公网切换服务：平台远程访问、视频数据本地安装、公网访问。</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（3）供应商需提供软件系统更新维护服务。供应商应提供承诺书。</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（4）提供学生学习进度监控、课程访问统计分析、学习诚信监控，可根据学校需求提供教学运行数据和学习数据异常名单。供应商应提供承诺书。</w:t>
      </w:r>
    </w:p>
    <w:p>
      <w:pPr>
        <w:wordWrap w:val="0"/>
        <w:spacing w:line="360" w:lineRule="auto"/>
        <w:ind w:firstLine="482" w:firstLineChars="200"/>
        <w:rPr>
          <w:rFonts w:ascii="宋体" w:hAnsi="宋体" w:eastAsia="宋体" w:cs="宋体"/>
          <w:sz w:val="24"/>
          <w:szCs w:val="24"/>
        </w:rPr>
      </w:pPr>
      <w:r>
        <w:rPr>
          <w:rFonts w:hint="eastAsia" w:ascii="宋体" w:hAnsi="宋体" w:eastAsia="宋体" w:cs="宋体"/>
          <w:b/>
          <w:color w:val="000000"/>
          <w:sz w:val="24"/>
          <w:szCs w:val="24"/>
        </w:rPr>
        <w:t>3.2人员服务支持</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（1）供应商提供教学和教务全程服务，包括开课/结课的所有数据运行服务，学生信息、学习成绩及学分的导入/导出等。供应商应提供承诺书。</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（2）结课后提供针对学校的课程运行报告，不得另外收费。报告需包含数据展示部分及数据分析部分，能够展示数据对应含义。供应商需提供三所学校的课程运行报告作为证明。</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可以为用户开展通识教育相关活动提供师资、活动方案、人力支持。供应商需提供辅助其他高校开展名师讲座类、知识竞赛类活动的新闻报导网址或公众号链接各3场。网址或公众号应为其他高校官方网站或公众号。</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（4）提供在线客服、电话客服、邮箱客服解决学生、管理员、辅导老师使用问题；学生学习的导学、督学服务。</w:t>
      </w:r>
    </w:p>
    <w:p>
      <w:pPr>
        <w:wordWrap w:val="0"/>
        <w:spacing w:line="360" w:lineRule="auto"/>
      </w:pPr>
      <w:r>
        <w:rPr>
          <w:rFonts w:hint="eastAsia" w:ascii="宋体" w:hAnsi="宋体" w:eastAsia="宋体" w:cs="宋体"/>
          <w:color w:val="000000"/>
          <w:sz w:val="24"/>
          <w:szCs w:val="24"/>
        </w:rPr>
        <w:t>（5）为了保障产品正常运行，有效保障产品咨询、运行辅助、资源开发等通识课相关服务顺利开展，供应商应在学校所属省（市、自治区）建设有本地化服务团队，团队规模不少于30人。</w:t>
      </w:r>
    </w:p>
    <w:p>
      <w:pPr>
        <w:pStyle w:val="6"/>
      </w:pPr>
      <w:r>
        <w:rPr>
          <w:rFonts w:hint="eastAsia"/>
        </w:rPr>
        <w:t>三、服务要求</w:t>
      </w:r>
    </w:p>
    <w:p>
      <w:r>
        <w:rPr>
          <w:rFonts w:hint="eastAsia"/>
        </w:rPr>
        <w:t>1.免费质保期：</w:t>
      </w:r>
    </w:p>
    <w:p>
      <w:pPr>
        <w:spacing w:line="360" w:lineRule="auto"/>
        <w:ind w:firstLine="720" w:firstLineChars="300"/>
        <w:rPr>
          <w:rFonts w:ascii="宋体" w:hAnsi="宋体" w:eastAsia="宋体" w:cs="宋体"/>
          <w:bCs/>
          <w:sz w:val="24"/>
          <w:szCs w:val="24"/>
        </w:rPr>
      </w:pPr>
      <w:r>
        <w:rPr>
          <w:rFonts w:hint="eastAsia" w:ascii="宋体" w:hAnsi="宋体" w:eastAsia="宋体" w:cs="宋体"/>
          <w:bCs/>
          <w:sz w:val="24"/>
          <w:szCs w:val="24"/>
        </w:rPr>
        <w:t>整个项目质保期2年。</w:t>
      </w:r>
    </w:p>
    <w:p>
      <w:pPr>
        <w:rPr>
          <w:rFonts w:hint="eastAsia" w:eastAsia="微软雅黑"/>
          <w:lang w:eastAsia="zh-CN"/>
        </w:rPr>
      </w:pPr>
      <w:r>
        <w:rPr>
          <w:rFonts w:hint="eastAsia"/>
        </w:rPr>
        <w:t>2.培训：</w:t>
      </w:r>
    </w:p>
    <w:p>
      <w:pPr>
        <w:wordWrap w:val="0"/>
        <w:spacing w:line="360" w:lineRule="auto"/>
        <w:ind w:firstLine="240" w:firstLineChars="100"/>
        <w:rPr>
          <w:rFonts w:ascii="宋体" w:hAnsi="宋体" w:eastAsia="宋体" w:cs="宋体"/>
          <w:sz w:val="24"/>
          <w:szCs w:val="24"/>
        </w:rPr>
      </w:pPr>
      <w:r>
        <w:rPr>
          <w:rFonts w:hint="eastAsia" w:ascii="宋体" w:hAnsi="宋体" w:eastAsia="宋体" w:cs="宋体"/>
          <w:color w:val="000000"/>
          <w:sz w:val="24"/>
          <w:szCs w:val="24"/>
        </w:rPr>
        <w:t>为保障本项目的顺利实施，成交供应商应根据本项目实际情况，免费提供相应的技术培训服务。</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中标供应商应提供提供完善的培训服务，其中主要包括详尽的用户操作培训和系统管理员培训。培训授课人必须是相关经验丰富的工程师或技术人员等，所提供培训应确保系统管理员具有完成系统维护工作的能力。</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（2）采购人可根据实际情况决定培训的时间、人数、地点和培训方式。</w:t>
      </w:r>
    </w:p>
    <w:p>
      <w:pPr>
        <w:wordWrap w:val="0"/>
        <w:spacing w:line="360" w:lineRule="auto"/>
        <w:rPr>
          <w:rFonts w:ascii="宋体" w:hAnsi="宋体" w:eastAsia="宋体" w:cs="宋体"/>
          <w:bCs/>
          <w:sz w:val="24"/>
          <w:szCs w:val="24"/>
        </w:rPr>
      </w:pPr>
      <w:r>
        <w:rPr>
          <w:rFonts w:hint="eastAsia" w:ascii="宋体" w:hAnsi="宋体" w:eastAsia="宋体" w:cs="宋体"/>
          <w:color w:val="000000"/>
          <w:sz w:val="24"/>
          <w:szCs w:val="24"/>
        </w:rPr>
        <w:t>（3）中标供应商须为所有被培训人员提供培训使用的文字资料和讲义等相关用品，以及协助用户方准备培训用的计算机和网络环境。</w:t>
      </w:r>
    </w:p>
    <w:p>
      <w:r>
        <w:rPr>
          <w:rFonts w:hint="eastAsia"/>
        </w:rPr>
        <w:t>3.响应时间：</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（1）故障响应时间：成交供应商须提供全年的7*24小时响应服务。在工作时间内出现故障的响应及相关技术人员到达现场的时间要求为2小时以内。</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（2）故障恢复时间：本项目系统出现异常或故障时，成交供应商须积极查找原因，并承诺属于应用系统故障的三种情况下的系统恢复时间：</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a在到达现场后1小时内恢复系统正常运行；</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2）在到达现场后12小时内恢复系统正常运行；</w:t>
      </w:r>
    </w:p>
    <w:p>
      <w:pPr>
        <w:wordWrap w:val="0"/>
        <w:spacing w:line="360" w:lineRule="auto"/>
        <w:rPr>
          <w:rFonts w:ascii="宋体" w:hAnsi="宋体" w:eastAsia="宋体" w:cs="宋体"/>
          <w:sz w:val="24"/>
          <w:szCs w:val="24"/>
        </w:rPr>
      </w:pPr>
      <w:r>
        <w:rPr>
          <w:rFonts w:hint="eastAsia" w:ascii="宋体" w:hAnsi="宋体" w:eastAsia="宋体" w:cs="宋体"/>
          <w:color w:val="000000"/>
          <w:sz w:val="24"/>
          <w:szCs w:val="24"/>
        </w:rPr>
        <w:t>3）在到达现场后48小时内恢复系统正常运行。</w:t>
      </w:r>
    </w:p>
    <w:p>
      <w:pPr>
        <w:wordWrap w:val="0"/>
        <w:spacing w:line="360" w:lineRule="auto"/>
        <w:rPr>
          <w:rFonts w:ascii="宋体" w:hAnsi="宋体" w:eastAsia="宋体" w:cs="宋体"/>
          <w:bCs/>
          <w:sz w:val="24"/>
          <w:szCs w:val="24"/>
        </w:rPr>
      </w:pPr>
      <w:r>
        <w:rPr>
          <w:rFonts w:hint="eastAsia" w:ascii="宋体" w:hAnsi="宋体" w:eastAsia="宋体" w:cs="宋体"/>
          <w:color w:val="000000"/>
          <w:sz w:val="24"/>
          <w:szCs w:val="24"/>
        </w:rPr>
        <w:t>（3）故障报告及全年正常运行时间：故障发生24小时内，成交供应商应向采购人提供故障报告；故障解决三日内提供故障分析报告。同时，成交供应商应保证应用系统全年正常运行率达到99.0％（不可抗力因素除外）。</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4.售后技术服务要求：</w:t>
      </w:r>
    </w:p>
    <w:p>
      <w:pPr>
        <w:spacing w:line="360" w:lineRule="auto"/>
        <w:ind w:firstLine="480" w:firstLineChars="200"/>
        <w:rPr>
          <w:rFonts w:ascii="宋体" w:hAnsi="宋体" w:eastAsia="宋体" w:cs="宋体"/>
          <w:bCs/>
          <w:sz w:val="24"/>
          <w:szCs w:val="24"/>
        </w:rPr>
      </w:pPr>
      <w:bookmarkStart w:id="165" w:name="_Hlk45478283"/>
      <w:bookmarkStart w:id="166" w:name="_Hlk20379672"/>
      <w:r>
        <w:rPr>
          <w:rFonts w:hint="eastAsia" w:ascii="宋体" w:hAnsi="宋体" w:eastAsia="宋体" w:cs="宋体"/>
          <w:bCs/>
          <w:sz w:val="24"/>
          <w:szCs w:val="24"/>
        </w:rPr>
        <w:t>供应商应具有本地化服务能力，</w:t>
      </w:r>
      <w:bookmarkStart w:id="167" w:name="_Hlk47438656"/>
      <w:r>
        <w:rPr>
          <w:rFonts w:hint="eastAsia" w:ascii="宋体" w:hAnsi="宋体" w:eastAsia="宋体" w:cs="宋体"/>
          <w:bCs/>
          <w:sz w:val="24"/>
          <w:szCs w:val="24"/>
        </w:rPr>
        <w:t>并制订</w:t>
      </w:r>
      <w:r>
        <w:rPr>
          <w:rFonts w:hint="eastAsia" w:ascii="宋体" w:hAnsi="宋体" w:eastAsia="宋体" w:cs="宋体"/>
          <w:sz w:val="24"/>
          <w:szCs w:val="24"/>
        </w:rPr>
        <w:t>有关售后服务的管理制度，提供包括质保方案、售后服务保障体系、服务范围、响应时间、故障解决方案、应急处理方案、专业技术人员保障等</w:t>
      </w:r>
      <w:r>
        <w:rPr>
          <w:rFonts w:hint="eastAsia" w:ascii="宋体" w:hAnsi="宋体" w:eastAsia="宋体" w:cs="宋体"/>
          <w:bCs/>
          <w:sz w:val="24"/>
          <w:szCs w:val="24"/>
        </w:rPr>
        <w:t>服务方案</w:t>
      </w:r>
      <w:bookmarkEnd w:id="167"/>
      <w:r>
        <w:rPr>
          <w:rFonts w:hint="eastAsia" w:ascii="宋体" w:hAnsi="宋体" w:eastAsia="宋体" w:cs="宋体"/>
          <w:bCs/>
          <w:sz w:val="24"/>
          <w:szCs w:val="24"/>
        </w:rPr>
        <w:t>；服务方案应科学合理、具备针对性，并指定专门的技术服务人员，确保维保期电话30分钟响应，8小时内到现场，24小时内解决问题。</w:t>
      </w:r>
      <w:bookmarkEnd w:id="165"/>
      <w:bookmarkEnd w:id="166"/>
    </w:p>
    <w:p>
      <w:pPr>
        <w:spacing w:line="360" w:lineRule="auto"/>
        <w:ind w:firstLine="480" w:firstLineChars="200"/>
        <w:rPr>
          <w:rFonts w:asciiTheme="minorEastAsia" w:hAnsiTheme="minorEastAsia" w:eastAsiaTheme="minorEastAsia"/>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三、安装要求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按照国家现行行业规范标准进行安装，符合国家或行业质量检验评定标准。</w:t>
      </w:r>
    </w:p>
    <w:p>
      <w:pPr>
        <w:wordWrap w:val="0"/>
        <w:spacing w:line="378" w:lineRule="exact"/>
        <w:rPr>
          <w:sz w:val="24"/>
          <w:szCs w:val="24"/>
        </w:rPr>
      </w:pPr>
      <w:r>
        <w:rPr>
          <w:rFonts w:ascii="宋体" w:hAnsi="宋体" w:eastAsia="宋体" w:cs="宋体"/>
          <w:color w:val="000000"/>
          <w:sz w:val="24"/>
          <w:szCs w:val="24"/>
        </w:rPr>
        <w:t>1、按行业通行标准和乙方响应文件的承诺（不低于国家相关标准）。</w:t>
      </w:r>
    </w:p>
    <w:p>
      <w:pPr>
        <w:wordWrap w:val="0"/>
        <w:spacing w:after="0" w:line="378" w:lineRule="exact"/>
        <w:rPr>
          <w:sz w:val="24"/>
          <w:szCs w:val="24"/>
        </w:rPr>
      </w:pPr>
      <w:r>
        <w:rPr>
          <w:rFonts w:ascii="宋体" w:hAnsi="宋体" w:eastAsia="宋体" w:cs="宋体"/>
          <w:color w:val="000000"/>
          <w:sz w:val="24"/>
          <w:szCs w:val="24"/>
        </w:rPr>
        <w:t>2、本项目系统完成上线稳定运行</w:t>
      </w:r>
      <w:r>
        <w:rPr>
          <w:rFonts w:hint="eastAsia" w:ascii="宋体" w:hAnsi="宋体" w:eastAsia="宋体" w:cs="宋体"/>
          <w:color w:val="000000"/>
          <w:sz w:val="24"/>
          <w:szCs w:val="24"/>
        </w:rPr>
        <w:t>两周后</w:t>
      </w:r>
      <w:r>
        <w:rPr>
          <w:rFonts w:ascii="宋体" w:hAnsi="宋体" w:eastAsia="宋体" w:cs="宋体"/>
          <w:color w:val="000000"/>
          <w:sz w:val="24"/>
          <w:szCs w:val="24"/>
        </w:rPr>
        <w:t>后，由采购人组织对系统进行最终验收，成交供应商必须提交相应的详细验收资料。</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交货期、交货方式及交货地点</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.交货期：</w:t>
      </w:r>
      <w:r>
        <w:rPr>
          <w:rFonts w:hint="eastAsia" w:asciiTheme="minorEastAsia" w:hAnsiTheme="minorEastAsia" w:eastAsiaTheme="minorEastAsia"/>
          <w:bCs/>
          <w:sz w:val="24"/>
          <w:szCs w:val="24"/>
        </w:rPr>
        <w:t>务必在2023年12月20日之前完成全部信息化软件到货安装及验收。</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.交货方式：</w:t>
      </w:r>
      <w:r>
        <w:rPr>
          <w:rFonts w:hint="eastAsia" w:asciiTheme="minorEastAsia" w:hAnsiTheme="minorEastAsia" w:eastAsiaTheme="minorEastAsia"/>
          <w:bCs/>
          <w:sz w:val="24"/>
          <w:szCs w:val="24"/>
        </w:rPr>
        <w:t>中标人在买方指定地点交货，并完成安装、验收。</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3.交货地点：</w:t>
      </w:r>
      <w:r>
        <w:rPr>
          <w:rFonts w:hint="eastAsia" w:asciiTheme="minorEastAsia" w:hAnsiTheme="minorEastAsia" w:eastAsiaTheme="minorEastAsia"/>
          <w:bCs/>
          <w:sz w:val="24"/>
          <w:szCs w:val="24"/>
        </w:rPr>
        <w:t>南京医科大学。</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货款支付</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2023年12月20日课程内容调试成功，可以正常使用，验收合格后支付合同金额的50%，一年后（2024年12月20日）支付尾款（无息）。</w:t>
      </w:r>
    </w:p>
    <w:p>
      <w:pPr>
        <w:spacing w:line="360" w:lineRule="auto"/>
        <w:ind w:firstLine="480" w:firstLineChars="200"/>
        <w:rPr>
          <w:rFonts w:asciiTheme="minorEastAsia" w:hAnsiTheme="minorEastAsia" w:eastAsiaTheme="minorEastAsia"/>
          <w:bCs/>
          <w:sz w:val="24"/>
          <w:szCs w:val="24"/>
        </w:rPr>
      </w:pPr>
    </w:p>
    <w:p>
      <w:pPr>
        <w:pStyle w:val="5"/>
        <w:keepNext w:val="0"/>
        <w:keepLines/>
        <w:spacing w:line="360" w:lineRule="auto"/>
        <w:ind w:firstLine="883" w:firstLineChars="200"/>
        <w:rPr>
          <w:rFonts w:ascii="宋体" w:hAnsi="宋体" w:eastAsia="宋体"/>
          <w:b/>
          <w:bCs/>
          <w:sz w:val="44"/>
          <w:szCs w:val="44"/>
        </w:rPr>
      </w:pPr>
      <w:bookmarkStart w:id="168" w:name="_Toc401414769"/>
    </w:p>
    <w:p>
      <w:pPr>
        <w:pStyle w:val="5"/>
        <w:keepNext w:val="0"/>
        <w:keepLines/>
        <w:spacing w:line="360" w:lineRule="auto"/>
        <w:ind w:firstLine="883" w:firstLineChars="200"/>
        <w:rPr>
          <w:rFonts w:ascii="宋体" w:hAnsi="宋体" w:eastAsia="宋体"/>
          <w:b/>
          <w:bCs/>
          <w:sz w:val="44"/>
          <w:szCs w:val="44"/>
        </w:rPr>
      </w:pPr>
    </w:p>
    <w:p>
      <w:pPr>
        <w:pStyle w:val="5"/>
        <w:keepNext w:val="0"/>
        <w:keepLines/>
        <w:spacing w:line="360" w:lineRule="auto"/>
        <w:ind w:firstLine="883" w:firstLineChars="200"/>
        <w:rPr>
          <w:rFonts w:ascii="宋体" w:hAnsi="宋体" w:eastAsia="宋体"/>
          <w:b/>
          <w:bCs/>
          <w:sz w:val="44"/>
          <w:szCs w:val="44"/>
        </w:rPr>
      </w:pPr>
    </w:p>
    <w:p>
      <w:pPr>
        <w:pStyle w:val="5"/>
        <w:keepNext w:val="0"/>
        <w:keepLines/>
        <w:spacing w:line="360" w:lineRule="auto"/>
        <w:ind w:firstLine="883" w:firstLineChars="200"/>
        <w:rPr>
          <w:rFonts w:ascii="宋体" w:hAnsi="宋体" w:eastAsia="宋体"/>
          <w:b/>
          <w:bCs/>
          <w:sz w:val="44"/>
          <w:szCs w:val="44"/>
        </w:rPr>
      </w:pPr>
    </w:p>
    <w:p>
      <w:pPr>
        <w:pStyle w:val="5"/>
        <w:keepNext w:val="0"/>
        <w:keepLines/>
        <w:spacing w:line="360" w:lineRule="auto"/>
        <w:ind w:firstLine="883" w:firstLineChars="200"/>
        <w:rPr>
          <w:rFonts w:ascii="宋体" w:hAnsi="宋体" w:eastAsia="宋体"/>
          <w:b/>
          <w:bCs/>
          <w:sz w:val="44"/>
          <w:szCs w:val="44"/>
        </w:rPr>
      </w:pPr>
    </w:p>
    <w:p>
      <w:pPr>
        <w:pStyle w:val="5"/>
        <w:keepNext w:val="0"/>
        <w:keepLines/>
        <w:spacing w:line="360" w:lineRule="auto"/>
        <w:ind w:firstLine="883" w:firstLineChars="200"/>
        <w:rPr>
          <w:rFonts w:ascii="宋体" w:hAnsi="宋体" w:eastAsia="宋体"/>
          <w:b/>
          <w:bCs/>
          <w:sz w:val="44"/>
          <w:szCs w:val="44"/>
        </w:rPr>
      </w:pPr>
    </w:p>
    <w:p>
      <w:pPr>
        <w:pStyle w:val="5"/>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5"/>
        <w:keepNext w:val="0"/>
        <w:keepLines/>
        <w:spacing w:line="360" w:lineRule="auto"/>
        <w:ind w:firstLine="883" w:firstLineChars="200"/>
        <w:rPr>
          <w:rFonts w:ascii="宋体" w:hAnsi="宋体" w:eastAsia="宋体"/>
          <w:bCs/>
          <w:sz w:val="44"/>
          <w:szCs w:val="44"/>
        </w:rPr>
      </w:pPr>
      <w:bookmarkStart w:id="169" w:name="_Toc523931348"/>
      <w:r>
        <w:rPr>
          <w:rFonts w:hint="eastAsia" w:ascii="宋体" w:hAnsi="宋体" w:eastAsia="宋体"/>
          <w:b/>
          <w:bCs/>
          <w:sz w:val="44"/>
          <w:szCs w:val="44"/>
        </w:rPr>
        <w:t>第四章评标方法与评标标准</w:t>
      </w:r>
      <w:bookmarkEnd w:id="169"/>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31"/>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8"/>
    <w:tbl>
      <w:tblPr>
        <w:tblStyle w:val="22"/>
        <w:tblW w:w="101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 w:type="dxa"/>
          <w:bottom w:w="0" w:type="dxa"/>
          <w:right w:w="10" w:type="dxa"/>
        </w:tblCellMar>
      </w:tblPr>
      <w:tblGrid>
        <w:gridCol w:w="704"/>
        <w:gridCol w:w="1207"/>
        <w:gridCol w:w="1173"/>
        <w:gridCol w:w="70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657"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序号</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评分因素</w:t>
            </w:r>
          </w:p>
        </w:tc>
        <w:tc>
          <w:tcPr>
            <w:tcW w:w="1173"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分值</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评分标准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1361"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投标报价</w:t>
            </w:r>
          </w:p>
        </w:tc>
        <w:tc>
          <w:tcPr>
            <w:tcW w:w="1173" w:type="dxa"/>
            <w:tcBorders>
              <w:tl2br w:val="nil"/>
              <w:tr2bl w:val="nil"/>
            </w:tcBorders>
            <w:tcMar>
              <w:top w:w="20" w:type="dxa"/>
              <w:left w:w="20" w:type="dxa"/>
              <w:bottom w:w="20" w:type="dxa"/>
              <w:right w:w="20" w:type="dxa"/>
            </w:tcMar>
          </w:tcPr>
          <w:p>
            <w:pPr>
              <w:wordWrap w:val="0"/>
              <w:rPr>
                <w:rFonts w:hint="eastAsia" w:ascii="宋体" w:hAnsi="宋体" w:eastAsia="宋体" w:cs="宋体"/>
                <w:b w:val="0"/>
                <w:bCs/>
                <w:sz w:val="24"/>
                <w:szCs w:val="24"/>
              </w:rPr>
            </w:pPr>
            <w:r>
              <w:rPr>
                <w:rFonts w:hint="eastAsia" w:ascii="宋体" w:hAnsi="宋体" w:eastAsia="宋体" w:cs="宋体"/>
                <w:b w:val="0"/>
                <w:bCs/>
                <w:color w:val="000000"/>
                <w:sz w:val="24"/>
                <w:szCs w:val="24"/>
              </w:rPr>
              <w:t>15</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投标最低报价为评标基准价：满足招标文件要求且投标价格最低的投标报价为评标基准价，其价格分为满分。其他投标人的价格分统一按照下列公式计算：投标报价得分=(评标基准价/投标报价)×15。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2101"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技术指标响应</w:t>
            </w:r>
          </w:p>
        </w:tc>
        <w:tc>
          <w:tcPr>
            <w:tcW w:w="1173" w:type="dxa"/>
            <w:tcBorders>
              <w:tl2br w:val="nil"/>
              <w:tr2bl w:val="nil"/>
            </w:tcBorders>
            <w:tcMar>
              <w:top w:w="20" w:type="dxa"/>
              <w:left w:w="20" w:type="dxa"/>
              <w:bottom w:w="20" w:type="dxa"/>
              <w:right w:w="20" w:type="dxa"/>
            </w:tcMar>
          </w:tcPr>
          <w:p>
            <w:pPr>
              <w:wordWrap w:val="0"/>
              <w:rPr>
                <w:rFonts w:hint="eastAsia" w:ascii="宋体" w:hAnsi="宋体" w:eastAsia="宋体" w:cs="宋体"/>
                <w:b w:val="0"/>
                <w:bCs/>
                <w:sz w:val="24"/>
                <w:szCs w:val="24"/>
              </w:rPr>
            </w:pPr>
            <w:r>
              <w:rPr>
                <w:rFonts w:hint="eastAsia" w:ascii="宋体" w:hAnsi="宋体" w:eastAsia="宋体" w:cs="宋体"/>
                <w:b w:val="0"/>
                <w:bCs/>
                <w:sz w:val="24"/>
                <w:szCs w:val="24"/>
              </w:rPr>
              <w:t>35</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产品功能、性能、配置要求：</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技术参数全部满足招标要求的得35分；加▲号的技术条款，投标人需在投标文件中做投标响应，并提供相应支持资料，如有负偏离项，每有一项扣2分；其它指标项，每有一项负偏离扣1分，扣完为止。（提供相应证明文件并加盖公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1361"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3</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项目实施方案</w:t>
            </w:r>
          </w:p>
        </w:tc>
        <w:tc>
          <w:tcPr>
            <w:tcW w:w="1173" w:type="dxa"/>
            <w:tcBorders>
              <w:tl2br w:val="nil"/>
              <w:tr2bl w:val="nil"/>
            </w:tcBorders>
            <w:tcMar>
              <w:top w:w="20" w:type="dxa"/>
              <w:left w:w="20" w:type="dxa"/>
              <w:bottom w:w="20" w:type="dxa"/>
              <w:right w:w="20" w:type="dxa"/>
            </w:tcMar>
          </w:tcPr>
          <w:p>
            <w:pPr>
              <w:wordWrap w:val="0"/>
              <w:rPr>
                <w:rFonts w:hint="eastAsia" w:ascii="宋体" w:hAnsi="宋体" w:eastAsia="宋体" w:cs="宋体"/>
                <w:b w:val="0"/>
                <w:bCs/>
                <w:sz w:val="24"/>
                <w:szCs w:val="24"/>
              </w:rPr>
            </w:pPr>
            <w:r>
              <w:rPr>
                <w:rFonts w:hint="eastAsia" w:ascii="宋体" w:hAnsi="宋体" w:eastAsia="宋体" w:cs="宋体"/>
                <w:b w:val="0"/>
                <w:bCs/>
                <w:sz w:val="24"/>
                <w:szCs w:val="24"/>
              </w:rPr>
              <w:t>25</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根据投标人对本项目实施的质量保证措施、施工组织部署、技术方案、人员配置、时间进度安排及验收方案的合理性、科学性等进行比较评分。</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优秀的得25分；良好得15分；一般得10分。不提供相关内容不得分。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1033"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4</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培训服务</w:t>
            </w:r>
          </w:p>
        </w:tc>
        <w:tc>
          <w:tcPr>
            <w:tcW w:w="1173" w:type="dxa"/>
            <w:tcBorders>
              <w:tl2br w:val="nil"/>
              <w:tr2bl w:val="nil"/>
            </w:tcBorders>
            <w:tcMar>
              <w:top w:w="20" w:type="dxa"/>
              <w:left w:w="20" w:type="dxa"/>
              <w:bottom w:w="20" w:type="dxa"/>
              <w:right w:w="20" w:type="dxa"/>
            </w:tcMar>
          </w:tcPr>
          <w:p>
            <w:pPr>
              <w:wordWrap w:val="0"/>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对投标人提供的培训计划、培训方式、人员安排、培训大纲等综合进行评审。</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培训计划详细，培训方案合理可行的得15分；</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培训计划一般，培训方案有瑕疵的得10分；</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培训计划及培训方案不合理的得8分；</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不提供相关内容不得分。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1731"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5</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售后服务响应</w:t>
            </w:r>
          </w:p>
        </w:tc>
        <w:tc>
          <w:tcPr>
            <w:tcW w:w="1173" w:type="dxa"/>
            <w:tcBorders>
              <w:tl2br w:val="nil"/>
              <w:tr2bl w:val="nil"/>
            </w:tcBorders>
            <w:tcMar>
              <w:top w:w="20" w:type="dxa"/>
              <w:left w:w="20" w:type="dxa"/>
              <w:bottom w:w="20" w:type="dxa"/>
              <w:right w:w="20" w:type="dxa"/>
            </w:tcMar>
          </w:tcPr>
          <w:p>
            <w:pPr>
              <w:wordWrap w:val="0"/>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根据投标文件中有关服务承诺说明、提供的工程技术人员配备情况及服务响应时间进行评分，包括质保方案、售后服务保障体系、服务范围、响应时间、故障解决方案、应急处理方案、专业技术人员保障等。</w:t>
            </w:r>
          </w:p>
          <w:p>
            <w:pPr>
              <w:wordWrap w:val="0"/>
              <w:spacing w:after="0"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优秀的9分，良好的得5分，一般的2分，不提供相关内容不得分。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 w:type="dxa"/>
            <w:bottom w:w="0" w:type="dxa"/>
            <w:right w:w="10" w:type="dxa"/>
          </w:tblCellMar>
        </w:tblPrEx>
        <w:trPr>
          <w:trHeight w:val="1361" w:hRule="atLeast"/>
          <w:jc w:val="center"/>
        </w:trPr>
        <w:tc>
          <w:tcPr>
            <w:tcW w:w="704"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w:t>
            </w:r>
          </w:p>
        </w:tc>
        <w:tc>
          <w:tcPr>
            <w:tcW w:w="1207"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业绩证明</w:t>
            </w:r>
          </w:p>
        </w:tc>
        <w:tc>
          <w:tcPr>
            <w:tcW w:w="1173" w:type="dxa"/>
            <w:tcBorders>
              <w:tl2br w:val="nil"/>
              <w:tr2bl w:val="nil"/>
            </w:tcBorders>
            <w:tcMar>
              <w:top w:w="20" w:type="dxa"/>
              <w:left w:w="20" w:type="dxa"/>
              <w:bottom w:w="20" w:type="dxa"/>
              <w:right w:w="20" w:type="dxa"/>
            </w:tcMar>
          </w:tcPr>
          <w:p>
            <w:pPr>
              <w:wordWrap w:val="0"/>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7065" w:type="dxa"/>
            <w:tcBorders>
              <w:tl2br w:val="nil"/>
              <w:tr2bl w:val="nil"/>
            </w:tcBorders>
            <w:tcMar>
              <w:top w:w="20" w:type="dxa"/>
              <w:left w:w="20" w:type="dxa"/>
              <w:bottom w:w="20" w:type="dxa"/>
              <w:right w:w="20" w:type="dxa"/>
            </w:tcMar>
          </w:tcPr>
          <w:p>
            <w:pPr>
              <w:wordWrap w:val="0"/>
              <w:spacing w:line="378" w:lineRule="exact"/>
              <w:rPr>
                <w:rFonts w:hint="eastAsia" w:ascii="宋体" w:hAnsi="宋体" w:eastAsia="宋体" w:cs="宋体"/>
                <w:b w:val="0"/>
                <w:bCs/>
                <w:sz w:val="24"/>
                <w:szCs w:val="24"/>
              </w:rPr>
            </w:pPr>
            <w:r>
              <w:rPr>
                <w:rFonts w:hint="eastAsia" w:ascii="宋体" w:hAnsi="宋体" w:eastAsia="宋体" w:cs="宋体"/>
                <w:b w:val="0"/>
                <w:bCs/>
                <w:color w:val="000000"/>
                <w:sz w:val="24"/>
                <w:szCs w:val="24"/>
              </w:rPr>
              <w:t>提供自2020年1月1日以来实施的与本项目类似的案例合同，每提供1份合同得2分，本项最高得6分。(响应文件中提供合同复印件并加盖公章)（合同应能反映相关信息）</w:t>
            </w:r>
          </w:p>
        </w:tc>
      </w:tr>
    </w:tbl>
    <w:p>
      <w:pPr>
        <w:spacing w:line="360" w:lineRule="auto"/>
        <w:ind w:firstLine="480" w:firstLineChars="200"/>
        <w:rPr>
          <w:rFonts w:hint="eastAsia" w:ascii="宋体" w:hAnsi="宋体" w:eastAsia="宋体" w:cs="宋体"/>
          <w:b w:val="0"/>
          <w:bCs/>
          <w:sz w:val="24"/>
          <w:szCs w:val="24"/>
        </w:rPr>
      </w:pPr>
    </w:p>
    <w:p>
      <w:pPr>
        <w:pStyle w:val="31"/>
        <w:ind w:firstLine="0"/>
        <w:rPr>
          <w:rFonts w:hint="eastAsia" w:asciiTheme="minorEastAsia" w:hAnsiTheme="minorEastAsia" w:eastAsiaTheme="minorEastAsia"/>
          <w:sz w:val="28"/>
          <w:szCs w:val="28"/>
          <w:lang w:eastAsia="zh-CN"/>
        </w:rPr>
      </w:pPr>
    </w:p>
    <w:p>
      <w:pPr>
        <w:pStyle w:val="5"/>
        <w:pageBreakBefore/>
        <w:rPr>
          <w:rFonts w:hint="eastAsia" w:ascii="宋体" w:hAnsi="宋体" w:eastAsia="宋体"/>
          <w:b/>
          <w:bCs/>
          <w:sz w:val="44"/>
          <w:lang w:eastAsia="zh-CN"/>
        </w:rPr>
      </w:pPr>
      <w:bookmarkStart w:id="170" w:name="_Toc523931349"/>
      <w:r>
        <w:rPr>
          <w:rFonts w:hint="eastAsia" w:ascii="宋体" w:hAnsi="宋体" w:eastAsia="宋体"/>
          <w:b/>
          <w:bCs/>
          <w:sz w:val="44"/>
        </w:rPr>
        <w:t>第五章投标文件格式</w:t>
      </w:r>
      <w:bookmarkEnd w:id="170"/>
    </w:p>
    <w:p>
      <w:pPr>
        <w:jc w:val="center"/>
        <w:rPr>
          <w:rFonts w:ascii="宋体" w:hAnsi="宋体"/>
          <w:b/>
          <w:sz w:val="72"/>
        </w:rPr>
      </w:pPr>
      <w:bookmarkStart w:id="171" w:name="_Hlt26671244"/>
      <w:bookmarkEnd w:id="171"/>
      <w:bookmarkStart w:id="172" w:name="_Hlt26955039"/>
      <w:bookmarkEnd w:id="172"/>
      <w:bookmarkStart w:id="173" w:name="_Toc120614282"/>
      <w:bookmarkStart w:id="174" w:name="_Toc49090576"/>
      <w:bookmarkStart w:id="175"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投标人名称：</w:t>
      </w:r>
    </w:p>
    <w:p>
      <w:pPr>
        <w:rPr>
          <w:rFonts w:ascii="宋体" w:hAnsi="宋体"/>
          <w:b/>
          <w:sz w:val="36"/>
        </w:rPr>
      </w:pPr>
      <w:r>
        <w:rPr>
          <w:rFonts w:hint="eastAsia" w:ascii="宋体" w:hAnsi="宋体"/>
          <w:b/>
          <w:sz w:val="36"/>
        </w:rPr>
        <w:t>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31"/>
        <w:ind w:firstLine="0"/>
        <w:jc w:val="center"/>
        <w:rPr>
          <w:rFonts w:ascii="宋体" w:hAnsi="宋体" w:cs="宋体"/>
          <w:b/>
        </w:rPr>
      </w:pPr>
      <w:bookmarkStart w:id="176" w:name="_Toc517190894"/>
      <w:r>
        <w:rPr>
          <w:rFonts w:hint="eastAsia" w:ascii="宋体" w:hAnsi="宋体" w:cs="宋体"/>
          <w:b/>
        </w:rPr>
        <w:t>投标函格式</w:t>
      </w:r>
      <w:bookmarkEnd w:id="176"/>
    </w:p>
    <w:p>
      <w:pPr>
        <w:pStyle w:val="31"/>
        <w:spacing w:before="0" w:after="0" w:line="420" w:lineRule="exact"/>
        <w:ind w:firstLine="0"/>
        <w:rPr>
          <w:rFonts w:ascii="宋体" w:hAnsi="宋体" w:cs="宋体"/>
          <w:kern w:val="2"/>
        </w:rPr>
      </w:pPr>
      <w:r>
        <w:rPr>
          <w:rFonts w:hint="eastAsia" w:ascii="宋体" w:hAnsi="宋体" w:cs="宋体"/>
          <w:kern w:val="2"/>
        </w:rPr>
        <w:t>致：南京医科大学</w:t>
      </w:r>
    </w:p>
    <w:p>
      <w:pPr>
        <w:pStyle w:val="31"/>
        <w:spacing w:before="0" w:after="0" w:line="420" w:lineRule="exact"/>
        <w:ind w:firstLineChars="200"/>
        <w:rPr>
          <w:rFonts w:ascii="宋体" w:hAnsi="宋体" w:cs="宋体"/>
          <w:kern w:val="2"/>
        </w:rPr>
      </w:pPr>
      <w:r>
        <w:rPr>
          <w:rFonts w:hint="eastAsia" w:ascii="宋体" w:hAnsi="宋体" w:cs="宋体"/>
          <w:kern w:val="2"/>
        </w:rPr>
        <w:t>根据贵方的项目（项目编号：）招标文件，正式授权下述签字人_____________(姓名)代表我方_____________</w:t>
      </w:r>
      <w:r>
        <w:rPr>
          <w:rFonts w:hint="eastAsia" w:ascii="宋体" w:hAnsi="宋体" w:cs="宋体"/>
          <w:kern w:val="2"/>
          <w:u w:val="single"/>
        </w:rPr>
        <w:t>_</w:t>
      </w:r>
      <w:r>
        <w:rPr>
          <w:rFonts w:hint="eastAsia" w:ascii="宋体" w:hAnsi="宋体" w:cs="宋体"/>
          <w:kern w:val="2"/>
        </w:rPr>
        <w:t>（投标人的名称），全权处理本次项目投标的有关事宜。</w:t>
      </w:r>
    </w:p>
    <w:p>
      <w:pPr>
        <w:pStyle w:val="31"/>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31"/>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1"/>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1"/>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1"/>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4.我们同意从规定的开标日期起遵循本投标文件，并在规定的投标有效期天期满之前均具有约束力。</w:t>
      </w:r>
    </w:p>
    <w:p>
      <w:pPr>
        <w:pStyle w:val="31"/>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1"/>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1"/>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1"/>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31"/>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31"/>
        <w:spacing w:before="0" w:after="0" w:line="420" w:lineRule="exact"/>
        <w:ind w:left="440" w:leftChars="200" w:firstLineChars="200"/>
        <w:rPr>
          <w:rFonts w:ascii="宋体" w:hAnsi="宋体" w:cs="宋体"/>
          <w:kern w:val="2"/>
        </w:rPr>
      </w:pPr>
      <w:r>
        <w:rPr>
          <w:rFonts w:hint="eastAsia" w:ascii="宋体" w:hAnsi="宋体" w:cs="宋体"/>
          <w:kern w:val="2"/>
        </w:rPr>
        <w:t>邮编：电话：</w:t>
      </w:r>
    </w:p>
    <w:p>
      <w:pPr>
        <w:pStyle w:val="31"/>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31"/>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31"/>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31"/>
        <w:spacing w:before="0" w:after="0" w:line="420" w:lineRule="exact"/>
        <w:ind w:left="440" w:leftChars="200" w:firstLineChars="200"/>
        <w:rPr>
          <w:rFonts w:hint="eastAsia" w:ascii="宋体" w:hAnsi="宋体" w:eastAsia="宋体" w:cs="宋体"/>
          <w:kern w:val="2"/>
          <w:lang w:eastAsia="zh-CN"/>
        </w:rPr>
      </w:pPr>
      <w:r>
        <w:rPr>
          <w:rFonts w:hint="eastAsia" w:ascii="宋体" w:hAnsi="宋体" w:cs="宋体"/>
          <w:kern w:val="2"/>
        </w:rPr>
        <w:t>账号：</w:t>
      </w:r>
    </w:p>
    <w:p>
      <w:pPr>
        <w:pStyle w:val="31"/>
        <w:spacing w:before="0" w:after="0" w:line="420" w:lineRule="exact"/>
        <w:ind w:left="440" w:leftChars="200" w:firstLine="482" w:firstLineChars="200"/>
        <w:rPr>
          <w:rFonts w:hint="eastAsia" w:ascii="宋体" w:hAnsi="宋体" w:eastAsia="宋体" w:cs="宋体"/>
          <w:kern w:val="2"/>
          <w:lang w:eastAsia="zh-CN"/>
        </w:rPr>
      </w:pPr>
      <w:r>
        <w:rPr>
          <w:rFonts w:hint="eastAsia" w:ascii="宋体" w:hAnsi="宋体" w:cs="宋体"/>
          <w:b/>
          <w:kern w:val="2"/>
          <w:u w:val="single"/>
        </w:rPr>
        <w:t>投标人授权代表姓名（签字）</w:t>
      </w:r>
      <w:r>
        <w:rPr>
          <w:rFonts w:hint="eastAsia" w:ascii="宋体" w:hAnsi="宋体" w:cs="宋体"/>
          <w:kern w:val="2"/>
        </w:rPr>
        <w:t>：</w:t>
      </w:r>
    </w:p>
    <w:p>
      <w:pPr>
        <w:pStyle w:val="31"/>
        <w:spacing w:before="0" w:after="0" w:line="420" w:lineRule="exact"/>
        <w:ind w:left="440" w:leftChars="200" w:firstLineChars="200"/>
        <w:rPr>
          <w:rFonts w:hint="eastAsia" w:ascii="宋体" w:hAnsi="宋体" w:eastAsia="宋体" w:cs="宋体"/>
          <w:kern w:val="2"/>
          <w:lang w:eastAsia="zh-CN"/>
        </w:rPr>
      </w:pPr>
      <w:r>
        <w:rPr>
          <w:rFonts w:hint="eastAsia" w:ascii="宋体" w:hAnsi="宋体" w:cs="宋体"/>
          <w:kern w:val="2"/>
        </w:rPr>
        <w:t>投标人名称（公章）：</w:t>
      </w:r>
    </w:p>
    <w:p>
      <w:pPr>
        <w:pStyle w:val="31"/>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31"/>
        <w:spacing w:before="0" w:after="0" w:line="420" w:lineRule="exact"/>
        <w:ind w:left="440" w:leftChars="200" w:firstLine="3000" w:firstLineChars="1250"/>
        <w:rPr>
          <w:rFonts w:ascii="宋体" w:hAnsi="宋体" w:cs="宋体"/>
          <w:kern w:val="2"/>
        </w:rPr>
      </w:pPr>
    </w:p>
    <w:p>
      <w:pPr>
        <w:pStyle w:val="31"/>
        <w:spacing w:before="0" w:after="0" w:line="420" w:lineRule="exact"/>
        <w:jc w:val="right"/>
        <w:rPr>
          <w:rFonts w:ascii="宋体" w:hAnsi="宋体" w:cs="宋体"/>
          <w:kern w:val="2"/>
        </w:rPr>
      </w:pPr>
      <w:r>
        <w:rPr>
          <w:rFonts w:hint="eastAsia" w:ascii="宋体" w:hAnsi="宋体" w:cs="宋体"/>
          <w:kern w:val="2"/>
        </w:rPr>
        <w:t>日期：____年__月__日</w:t>
      </w:r>
    </w:p>
    <w:p>
      <w:pPr>
        <w:spacing w:before="50" w:after="120" w:afterLines="50"/>
        <w:rPr>
          <w:rFonts w:ascii="宋体" w:hAnsi="宋体" w:eastAsia="宋体" w:cs="宋体"/>
          <w:sz w:val="24"/>
          <w:szCs w:val="24"/>
        </w:rPr>
      </w:pPr>
    </w:p>
    <w:p>
      <w:pPr>
        <w:pStyle w:val="31"/>
        <w:ind w:firstLine="0"/>
        <w:jc w:val="center"/>
        <w:rPr>
          <w:rFonts w:ascii="宋体" w:hAnsi="宋体" w:cs="宋体"/>
          <w:b/>
        </w:rPr>
      </w:pPr>
      <w:bookmarkStart w:id="177" w:name="_Toc517190895"/>
    </w:p>
    <w:p>
      <w:pPr>
        <w:pStyle w:val="31"/>
        <w:ind w:firstLine="0"/>
        <w:jc w:val="center"/>
        <w:rPr>
          <w:rFonts w:ascii="宋体" w:hAnsi="宋体" w:cs="宋体"/>
          <w:b/>
        </w:rPr>
      </w:pPr>
      <w:r>
        <w:rPr>
          <w:rFonts w:hint="eastAsia" w:ascii="宋体" w:hAnsi="宋体" w:cs="宋体"/>
          <w:b/>
        </w:rPr>
        <w:t>法人授权书</w:t>
      </w:r>
      <w:bookmarkEnd w:id="177"/>
    </w:p>
    <w:p>
      <w:pPr>
        <w:pStyle w:val="47"/>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（被授权人的姓名）为我方就项目（项目编号：）采购活动的合法代理人，以本公司名义全权处理一切与该项目采购投标、合同签订等有关的事务。</w:t>
      </w:r>
    </w:p>
    <w:p>
      <w:pPr>
        <w:pStyle w:val="47"/>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7"/>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7"/>
        <w:spacing w:line="360" w:lineRule="auto"/>
        <w:ind w:firstLine="480"/>
        <w:rPr>
          <w:rFonts w:hint="eastAsia" w:ascii="宋体" w:hAnsi="宋体" w:eastAsia="宋体" w:cs="宋体"/>
          <w:sz w:val="24"/>
          <w:szCs w:val="24"/>
          <w:u w:val="single"/>
          <w:lang w:eastAsia="zh-CN"/>
        </w:rPr>
      </w:pPr>
      <w:r>
        <w:rPr>
          <w:rFonts w:hint="eastAsia" w:ascii="宋体" w:hAnsi="宋体" w:cs="宋体"/>
          <w:sz w:val="24"/>
          <w:szCs w:val="24"/>
        </w:rPr>
        <w:t>身份证号码：</w:t>
      </w:r>
      <w:r>
        <w:rPr>
          <w:rFonts w:hint="eastAsia" w:ascii="宋体" w:hAnsi="宋体" w:cs="宋体"/>
          <w:sz w:val="24"/>
          <w:szCs w:val="24"/>
          <w:u w:val="single"/>
        </w:rPr>
        <w:t>_______________________</w:t>
      </w:r>
    </w:p>
    <w:p>
      <w:pPr>
        <w:pStyle w:val="47"/>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联系电话：（手机）___________</w:t>
      </w:r>
      <w:r>
        <w:rPr>
          <w:rFonts w:hint="eastAsia" w:ascii="宋体" w:hAnsi="宋体" w:cs="宋体"/>
          <w:sz w:val="24"/>
          <w:szCs w:val="24"/>
          <w:u w:val="single"/>
        </w:rPr>
        <w:t>____________</w:t>
      </w:r>
    </w:p>
    <w:p>
      <w:pPr>
        <w:pStyle w:val="47"/>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7"/>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7"/>
        <w:spacing w:line="360" w:lineRule="auto"/>
        <w:ind w:firstLine="480"/>
        <w:jc w:val="right"/>
        <w:rPr>
          <w:rFonts w:ascii="宋体" w:hAnsi="宋体" w:cs="宋体"/>
          <w:sz w:val="24"/>
          <w:szCs w:val="24"/>
        </w:rPr>
      </w:pPr>
    </w:p>
    <w:p>
      <w:pPr>
        <w:pStyle w:val="47"/>
        <w:spacing w:line="360" w:lineRule="auto"/>
        <w:ind w:firstLine="480"/>
        <w:rPr>
          <w:rFonts w:ascii="宋体" w:hAnsi="宋体" w:cs="宋体"/>
          <w:sz w:val="24"/>
          <w:szCs w:val="24"/>
        </w:rPr>
      </w:pPr>
      <w:r>
        <w:rPr>
          <w:rFonts w:hint="eastAsia" w:ascii="宋体" w:hAnsi="宋体" w:cs="宋体"/>
          <w:sz w:val="24"/>
          <w:szCs w:val="24"/>
        </w:rPr>
        <w:t>法人签字：</w:t>
      </w:r>
    </w:p>
    <w:p>
      <w:pPr>
        <w:pStyle w:val="47"/>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7"/>
        <w:spacing w:line="360" w:lineRule="auto"/>
        <w:ind w:firstLine="480"/>
        <w:jc w:val="right"/>
        <w:rPr>
          <w:rFonts w:ascii="宋体" w:hAnsi="宋体" w:cs="宋体"/>
          <w:sz w:val="24"/>
          <w:szCs w:val="24"/>
        </w:rPr>
      </w:pPr>
    </w:p>
    <w:p>
      <w:pPr>
        <w:pStyle w:val="47"/>
        <w:spacing w:line="360" w:lineRule="auto"/>
        <w:ind w:firstLine="480"/>
        <w:jc w:val="right"/>
        <w:rPr>
          <w:rFonts w:ascii="宋体" w:hAnsi="宋体" w:cs="宋体"/>
          <w:sz w:val="24"/>
          <w:szCs w:val="24"/>
        </w:rPr>
      </w:pPr>
      <w:r>
        <w:rPr>
          <w:rFonts w:hint="eastAsia" w:ascii="宋体" w:hAnsi="宋体" w:cs="宋体"/>
          <w:sz w:val="24"/>
          <w:szCs w:val="24"/>
        </w:rPr>
        <w:t>日期：年月日</w:t>
      </w:r>
    </w:p>
    <w:p>
      <w:pPr>
        <w:pStyle w:val="8"/>
        <w:rPr>
          <w:rFonts w:ascii="宋体" w:hAnsi="宋体" w:eastAsia="宋体" w:cs="宋体"/>
          <w:sz w:val="24"/>
          <w:szCs w:val="24"/>
        </w:rPr>
      </w:pPr>
      <w:bookmarkStart w:id="178" w:name="_Hlt26671380"/>
      <w:bookmarkEnd w:id="178"/>
      <w:bookmarkStart w:id="179" w:name="_格式3__银行出具的资信证明"/>
      <w:bookmarkEnd w:id="179"/>
      <w:bookmarkStart w:id="180" w:name="_Hlt26955070"/>
      <w:bookmarkEnd w:id="180"/>
    </w:p>
    <w:p>
      <w:pPr>
        <w:pStyle w:val="6"/>
        <w:rPr>
          <w:rFonts w:ascii="宋体" w:hAnsi="宋体" w:eastAsia="宋体" w:cs="宋体"/>
          <w:sz w:val="24"/>
          <w:szCs w:val="24"/>
        </w:rPr>
      </w:pPr>
    </w:p>
    <w:p>
      <w:pPr>
        <w:pStyle w:val="31"/>
        <w:pageBreakBefore/>
        <w:ind w:firstLine="0"/>
        <w:jc w:val="center"/>
        <w:rPr>
          <w:rFonts w:ascii="宋体" w:hAnsi="宋体" w:cs="宋体"/>
          <w:b/>
        </w:rPr>
      </w:pPr>
      <w:bookmarkStart w:id="181" w:name="_Toc517190896"/>
      <w:r>
        <w:rPr>
          <w:rFonts w:hint="eastAsia" w:ascii="宋体" w:hAnsi="宋体" w:cs="宋体"/>
          <w:b/>
        </w:rPr>
        <w:t>开标一览表</w:t>
      </w:r>
      <w:bookmarkEnd w:id="181"/>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项目编号：分包号：</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11"/>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11"/>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11"/>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31"/>
              <w:spacing w:before="0" w:after="0" w:line="500" w:lineRule="exact"/>
              <w:ind w:firstLine="0"/>
              <w:rPr>
                <w:rFonts w:hint="eastAsia" w:ascii="宋体" w:hAnsi="宋体" w:eastAsia="宋体" w:cs="宋体"/>
                <w:kern w:val="2"/>
                <w:lang w:eastAsia="zh-CN"/>
              </w:rPr>
            </w:pPr>
            <w:r>
              <w:rPr>
                <w:rFonts w:hint="eastAsia" w:ascii="宋体" w:hAnsi="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11"/>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11"/>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11"/>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11"/>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11"/>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11"/>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日期：年月日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3.如有分包，投标人投任何一个包的标的，都需单独填写开标一览表。</w:t>
      </w:r>
    </w:p>
    <w:p>
      <w:pPr>
        <w:spacing w:line="460" w:lineRule="exact"/>
        <w:rPr>
          <w:rFonts w:ascii="宋体" w:hAnsi="宋体" w:eastAsia="宋体" w:cs="宋体"/>
          <w:bCs/>
          <w:sz w:val="24"/>
          <w:szCs w:val="24"/>
        </w:rPr>
      </w:pPr>
    </w:p>
    <w:p>
      <w:pPr>
        <w:pStyle w:val="13"/>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31"/>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2"/>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3"/>
    <w:bookmarkEnd w:id="174"/>
    <w:bookmarkEnd w:id="175"/>
    <w:p>
      <w:pPr>
        <w:jc w:val="center"/>
        <w:rPr>
          <w:rFonts w:ascii="宋体" w:hAnsi="宋体" w:eastAsia="宋体" w:cs="宋体"/>
          <w:b/>
          <w:sz w:val="24"/>
          <w:szCs w:val="24"/>
        </w:rPr>
      </w:pPr>
      <w:bookmarkStart w:id="182"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hint="eastAsia" w:ascii="宋体" w:hAnsi="宋体" w:eastAsia="宋体" w:cs="宋体"/>
          <w:sz w:val="24"/>
          <w:szCs w:val="24"/>
          <w:lang w:eastAsia="zh-CN"/>
        </w:rPr>
      </w:pPr>
    </w:p>
    <w:tbl>
      <w:tblPr>
        <w:tblStyle w:val="22"/>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3" w:name="OLE_LINK10"/>
            <w:bookmarkStart w:id="184"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hint="eastAsia" w:ascii="宋体" w:hAnsi="宋体" w:eastAsia="宋体" w:cs="宋体"/>
                <w:sz w:val="24"/>
                <w:szCs w:val="24"/>
                <w:lang w:eastAsia="zh-CN"/>
              </w:rPr>
            </w:pPr>
            <w:r>
              <w:rPr>
                <w:rFonts w:hint="eastAsia" w:ascii="宋体" w:hAnsi="宋体" w:eastAsia="宋体" w:cs="宋体"/>
                <w:sz w:val="24"/>
                <w:szCs w:val="24"/>
              </w:rPr>
              <w:t>无重大违法说明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3"/>
      <w:bookmarkEnd w:id="184"/>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8"/>
      </w:pPr>
    </w:p>
    <w:p>
      <w:pPr>
        <w:pStyle w:val="8"/>
      </w:pPr>
    </w:p>
    <w:p>
      <w:pPr>
        <w:pStyle w:val="8"/>
      </w:pPr>
    </w:p>
    <w:p>
      <w:pPr>
        <w:pStyle w:val="8"/>
      </w:pPr>
    </w:p>
    <w:p>
      <w:pPr>
        <w:pStyle w:val="8"/>
      </w:pPr>
    </w:p>
    <w:p>
      <w:pPr>
        <w:pStyle w:val="8"/>
      </w:pPr>
    </w:p>
    <w:bookmarkEnd w:id="182"/>
    <w:p>
      <w:pPr>
        <w:numPr>
          <w:ilvl w:val="0"/>
          <w:numId w:val="3"/>
        </w:numPr>
        <w:spacing w:line="360" w:lineRule="auto"/>
        <w:jc w:val="center"/>
        <w:rPr>
          <w:rFonts w:ascii="宋体" w:hAnsi="宋体" w:eastAsia="宋体" w:cs="宋体"/>
          <w:b/>
          <w:sz w:val="32"/>
        </w:rPr>
      </w:pPr>
      <w:r>
        <w:rPr>
          <w:rFonts w:hint="eastAsia" w:ascii="宋体" w:hAnsi="宋体" w:eastAsia="宋体" w:cs="宋体"/>
          <w:b/>
          <w:sz w:val="32"/>
        </w:rPr>
        <w:t>拟签订的合同文本</w:t>
      </w:r>
    </w:p>
    <w:p>
      <w:pPr>
        <w:widowControl w:val="0"/>
        <w:adjustRightInd/>
        <w:snapToGrid/>
        <w:spacing w:after="0" w:line="400" w:lineRule="exact"/>
        <w:jc w:val="center"/>
        <w:rPr>
          <w:rFonts w:ascii="宋体" w:hAnsi="宋体" w:eastAsia="宋体" w:cs="宋体"/>
          <w:b/>
          <w:kern w:val="2"/>
          <w:sz w:val="24"/>
          <w:szCs w:val="24"/>
        </w:rPr>
      </w:pPr>
      <w:r>
        <w:rPr>
          <w:rFonts w:hint="eastAsia" w:ascii="宋体" w:hAnsi="宋体" w:eastAsia="宋体" w:cs="宋体"/>
          <w:b/>
          <w:kern w:val="2"/>
          <w:sz w:val="24"/>
          <w:szCs w:val="24"/>
        </w:rPr>
        <w:t>南京医科大学技术服务合同</w:t>
      </w:r>
    </w:p>
    <w:p>
      <w:pPr>
        <w:widowControl w:val="0"/>
        <w:spacing w:before="120" w:after="120" w:line="400" w:lineRule="exact"/>
        <w:ind w:left="550" w:leftChars="250"/>
        <w:jc w:val="both"/>
        <w:rPr>
          <w:rFonts w:ascii="宋体" w:hAnsi="宋体" w:eastAsia="宋体" w:cs="宋体"/>
          <w:kern w:val="2"/>
          <w:sz w:val="24"/>
          <w:szCs w:val="24"/>
        </w:rPr>
      </w:pPr>
      <w:r>
        <w:rPr>
          <w:rFonts w:hint="eastAsia" w:ascii="宋体" w:hAnsi="宋体" w:eastAsia="宋体" w:cs="宋体"/>
          <w:kern w:val="2"/>
          <w:sz w:val="24"/>
          <w:szCs w:val="24"/>
        </w:rPr>
        <w:t>委托方（甲方）：南京医科大学</w:t>
      </w:r>
    </w:p>
    <w:p>
      <w:pPr>
        <w:widowControl w:val="0"/>
        <w:spacing w:before="120" w:after="120" w:line="400" w:lineRule="exact"/>
        <w:ind w:left="550" w:leftChars="250"/>
        <w:jc w:val="both"/>
        <w:rPr>
          <w:rFonts w:ascii="宋体" w:hAnsi="宋体" w:eastAsia="宋体" w:cs="宋体"/>
          <w:kern w:val="2"/>
          <w:sz w:val="24"/>
          <w:szCs w:val="24"/>
        </w:rPr>
      </w:pPr>
      <w:r>
        <w:rPr>
          <w:rFonts w:hint="eastAsia" w:ascii="宋体" w:hAnsi="宋体" w:eastAsia="宋体" w:cs="宋体"/>
          <w:kern w:val="2"/>
          <w:sz w:val="24"/>
          <w:szCs w:val="24"/>
        </w:rPr>
        <w:t>地址：</w:t>
      </w:r>
    </w:p>
    <w:p>
      <w:pPr>
        <w:widowControl w:val="0"/>
        <w:spacing w:before="120" w:after="120" w:line="400" w:lineRule="exact"/>
        <w:ind w:left="550" w:leftChars="25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联系方式：</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受托方（乙方）：</w:t>
      </w:r>
    </w:p>
    <w:p>
      <w:pPr>
        <w:widowControl w:val="0"/>
        <w:spacing w:before="120" w:after="12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地址：</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联系方式：</w:t>
      </w:r>
    </w:p>
    <w:p>
      <w:pPr>
        <w:widowControl w:val="0"/>
        <w:spacing w:before="120" w:after="12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甲方委托乙方就甲方项目提供专项技术服务，甲方支付相应的技术服务报酬。双方经过平等协商，在真实、充分地表达各自意愿的基础上，根据《中华人民共和国合同法》的规定，达成如下协议，并由双方共同恪守。</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第一条</w:t>
      </w:r>
      <w:r>
        <w:rPr>
          <w:rFonts w:ascii="宋体" w:hAnsi="宋体" w:eastAsia="宋体" w:cs="宋体"/>
          <w:kern w:val="2"/>
          <w:sz w:val="24"/>
          <w:szCs w:val="24"/>
        </w:rPr>
        <w:t>甲方委托乙方进行技术服务的内容如下：</w:t>
      </w:r>
    </w:p>
    <w:p>
      <w:pPr>
        <w:widowControl w:val="0"/>
        <w:spacing w:before="120" w:after="120" w:line="400" w:lineRule="exact"/>
        <w:ind w:left="550" w:leftChars="250"/>
        <w:rPr>
          <w:rFonts w:hint="eastAsia" w:ascii="宋体" w:hAnsi="宋体" w:eastAsia="宋体" w:cs="宋体"/>
          <w:kern w:val="2"/>
          <w:sz w:val="24"/>
          <w:szCs w:val="24"/>
          <w:lang w:eastAsia="zh-CN"/>
        </w:rPr>
      </w:pPr>
      <w:r>
        <w:rPr>
          <w:rFonts w:ascii="宋体" w:hAnsi="宋体" w:eastAsia="宋体" w:cs="宋体"/>
          <w:kern w:val="2"/>
          <w:sz w:val="24"/>
          <w:szCs w:val="24"/>
        </w:rPr>
        <w:t>1</w:t>
      </w:r>
      <w:r>
        <w:rPr>
          <w:rFonts w:hint="eastAsia" w:ascii="宋体" w:hAnsi="宋体" w:eastAsia="宋体" w:cs="宋体"/>
          <w:kern w:val="2"/>
          <w:sz w:val="24"/>
          <w:szCs w:val="24"/>
        </w:rPr>
        <w:t>．技术服务的目标：</w:t>
      </w:r>
      <w:r>
        <w:rPr>
          <w:rFonts w:ascii="宋体" w:hAnsi="宋体" w:eastAsia="宋体" w:cs="宋体"/>
          <w:kern w:val="2"/>
          <w:sz w:val="24"/>
          <w:szCs w:val="24"/>
        </w:rPr>
        <w:t>2</w:t>
      </w:r>
      <w:r>
        <w:rPr>
          <w:rFonts w:hint="eastAsia" w:ascii="宋体" w:hAnsi="宋体" w:eastAsia="宋体" w:cs="宋体"/>
          <w:kern w:val="2"/>
          <w:sz w:val="24"/>
          <w:szCs w:val="24"/>
        </w:rPr>
        <w:t>．技术服务的内容：</w:t>
      </w:r>
      <w:r>
        <w:rPr>
          <w:rFonts w:ascii="宋体" w:hAnsi="宋体" w:eastAsia="宋体" w:cs="宋体"/>
          <w:kern w:val="2"/>
          <w:sz w:val="24"/>
          <w:szCs w:val="24"/>
        </w:rPr>
        <w:t>3</w:t>
      </w:r>
      <w:r>
        <w:rPr>
          <w:rFonts w:hint="eastAsia" w:ascii="宋体" w:hAnsi="宋体" w:eastAsia="宋体" w:cs="宋体"/>
          <w:kern w:val="2"/>
          <w:sz w:val="24"/>
          <w:szCs w:val="24"/>
        </w:rPr>
        <w:t>．技术服务的方式：</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第二条</w:t>
      </w:r>
      <w:r>
        <w:rPr>
          <w:rFonts w:ascii="宋体" w:hAnsi="宋体" w:eastAsia="宋体" w:cs="宋体"/>
          <w:kern w:val="2"/>
          <w:sz w:val="24"/>
          <w:szCs w:val="24"/>
        </w:rPr>
        <w:t>乙方应按下列要求完成技术服务工作：</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．技术服务地点：</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．技术服务期限：</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ascii="宋体" w:hAnsi="宋体" w:eastAsia="宋体" w:cs="宋体"/>
          <w:kern w:val="2"/>
          <w:sz w:val="24"/>
          <w:szCs w:val="24"/>
        </w:rPr>
        <w:t>3</w:t>
      </w:r>
      <w:r>
        <w:rPr>
          <w:rFonts w:hint="eastAsia" w:ascii="宋体" w:hAnsi="宋体" w:eastAsia="宋体" w:cs="宋体"/>
          <w:kern w:val="2"/>
          <w:sz w:val="24"/>
          <w:szCs w:val="24"/>
        </w:rPr>
        <w:t>．技术服务进度：</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．技术服务质量要求：</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5</w:t>
      </w:r>
      <w:r>
        <w:rPr>
          <w:rFonts w:hint="eastAsia" w:ascii="宋体" w:hAnsi="宋体" w:eastAsia="宋体" w:cs="宋体"/>
          <w:kern w:val="2"/>
          <w:sz w:val="24"/>
          <w:szCs w:val="24"/>
        </w:rPr>
        <w:t>．技术服务质量期限要求：</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第三条</w:t>
      </w:r>
      <w:r>
        <w:rPr>
          <w:rFonts w:ascii="宋体" w:hAnsi="宋体" w:eastAsia="宋体" w:cs="宋体"/>
          <w:kern w:val="2"/>
          <w:sz w:val="24"/>
          <w:szCs w:val="24"/>
        </w:rPr>
        <w:t>为保证乙方有效进行技术服务工作，甲方应当向乙方提供下列工作条件和协作事项：</w:t>
      </w:r>
    </w:p>
    <w:p>
      <w:pPr>
        <w:widowControl w:val="0"/>
        <w:spacing w:before="120" w:after="120" w:line="400" w:lineRule="exact"/>
        <w:ind w:left="440" w:leftChars="200" w:firstLine="120" w:firstLineChars="50"/>
        <w:rPr>
          <w:rFonts w:hint="eastAsia" w:ascii="宋体" w:hAnsi="宋体" w:eastAsia="宋体" w:cs="宋体"/>
          <w:kern w:val="2"/>
          <w:sz w:val="24"/>
          <w:szCs w:val="24"/>
          <w:lang w:eastAsia="zh-CN"/>
        </w:rPr>
      </w:pPr>
      <w:r>
        <w:rPr>
          <w:rFonts w:ascii="宋体" w:hAnsi="宋体" w:eastAsia="宋体" w:cs="宋体"/>
          <w:kern w:val="2"/>
          <w:sz w:val="24"/>
          <w:szCs w:val="24"/>
        </w:rPr>
        <w:t>1</w:t>
      </w:r>
      <w:r>
        <w:rPr>
          <w:rFonts w:hint="eastAsia" w:ascii="宋体" w:hAnsi="宋体" w:eastAsia="宋体" w:cs="宋体"/>
          <w:kern w:val="2"/>
          <w:sz w:val="24"/>
          <w:szCs w:val="24"/>
        </w:rPr>
        <w:t>．提供技术资料：（</w:t>
      </w:r>
      <w:r>
        <w:rPr>
          <w:rFonts w:ascii="宋体" w:hAnsi="宋体" w:eastAsia="宋体" w:cs="宋体"/>
          <w:kern w:val="2"/>
          <w:sz w:val="24"/>
          <w:szCs w:val="24"/>
        </w:rPr>
        <w:t>1</w:t>
      </w:r>
      <w:r>
        <w:rPr>
          <w:rFonts w:hint="eastAsia" w:ascii="宋体" w:hAnsi="宋体" w:eastAsia="宋体" w:cs="宋体"/>
          <w:kern w:val="2"/>
          <w:sz w:val="24"/>
          <w:szCs w:val="24"/>
        </w:rPr>
        <w:t>）</w:t>
      </w:r>
      <w:r>
        <w:rPr>
          <w:rFonts w:ascii="宋体" w:hAnsi="宋体" w:eastAsia="宋体" w:cs="宋体"/>
          <w:kern w:val="2"/>
          <w:sz w:val="24"/>
          <w:szCs w:val="24"/>
          <w:u w:val="single"/>
        </w:rPr>
        <w:t>；</w:t>
      </w:r>
      <w:r>
        <w:rPr>
          <w:rFonts w:hint="eastAsia" w:ascii="宋体" w:hAnsi="宋体" w:eastAsia="宋体" w:cs="宋体"/>
          <w:kern w:val="2"/>
          <w:sz w:val="24"/>
          <w:szCs w:val="24"/>
        </w:rPr>
        <w:t>（</w:t>
      </w:r>
      <w:r>
        <w:rPr>
          <w:rFonts w:ascii="宋体" w:hAnsi="宋体" w:eastAsia="宋体" w:cs="宋体"/>
          <w:kern w:val="2"/>
          <w:sz w:val="24"/>
          <w:szCs w:val="24"/>
        </w:rPr>
        <w:t>2</w:t>
      </w:r>
      <w:r>
        <w:rPr>
          <w:rFonts w:hint="eastAsia" w:ascii="宋体" w:hAnsi="宋体" w:eastAsia="宋体" w:cs="宋体"/>
          <w:kern w:val="2"/>
          <w:sz w:val="24"/>
          <w:szCs w:val="24"/>
        </w:rPr>
        <w:t>）</w:t>
      </w:r>
      <w:r>
        <w:rPr>
          <w:rFonts w:ascii="宋体" w:hAnsi="宋体" w:eastAsia="宋体" w:cs="宋体"/>
          <w:kern w:val="2"/>
          <w:sz w:val="24"/>
          <w:szCs w:val="24"/>
          <w:u w:val="single"/>
        </w:rPr>
        <w:t>；</w:t>
      </w:r>
      <w:r>
        <w:rPr>
          <w:rFonts w:hint="eastAsia" w:ascii="宋体" w:hAnsi="宋体" w:eastAsia="宋体" w:cs="宋体"/>
          <w:kern w:val="2"/>
          <w:sz w:val="24"/>
          <w:szCs w:val="24"/>
        </w:rPr>
        <w:t>（</w:t>
      </w:r>
      <w:r>
        <w:rPr>
          <w:rFonts w:ascii="宋体" w:hAnsi="宋体" w:eastAsia="宋体" w:cs="宋体"/>
          <w:kern w:val="2"/>
          <w:sz w:val="24"/>
          <w:szCs w:val="24"/>
        </w:rPr>
        <w:t>3</w:t>
      </w:r>
      <w:r>
        <w:rPr>
          <w:rFonts w:hint="eastAsia" w:ascii="宋体" w:hAnsi="宋体" w:eastAsia="宋体" w:cs="宋体"/>
          <w:kern w:val="2"/>
          <w:sz w:val="24"/>
          <w:szCs w:val="24"/>
        </w:rPr>
        <w:t>）</w:t>
      </w:r>
      <w:r>
        <w:rPr>
          <w:rFonts w:ascii="宋体" w:hAnsi="宋体" w:eastAsia="宋体" w:cs="宋体"/>
          <w:kern w:val="2"/>
          <w:sz w:val="24"/>
          <w:szCs w:val="24"/>
          <w:u w:val="single"/>
        </w:rPr>
        <w:t>；</w:t>
      </w:r>
    </w:p>
    <w:p>
      <w:pPr>
        <w:widowControl w:val="0"/>
        <w:spacing w:before="120" w:after="120" w:line="400" w:lineRule="exact"/>
        <w:ind w:left="440" w:leftChars="200"/>
        <w:rPr>
          <w:rFonts w:hint="eastAsia" w:ascii="宋体" w:hAnsi="宋体" w:eastAsia="宋体" w:cs="宋体"/>
          <w:kern w:val="2"/>
          <w:sz w:val="24"/>
          <w:szCs w:val="24"/>
          <w:lang w:eastAsia="zh-CN"/>
        </w:rPr>
      </w:pPr>
      <w:r>
        <w:rPr>
          <w:rFonts w:ascii="宋体" w:hAnsi="宋体" w:eastAsia="宋体" w:cs="宋体"/>
          <w:kern w:val="2"/>
          <w:sz w:val="24"/>
          <w:szCs w:val="24"/>
        </w:rPr>
        <w:t>2</w:t>
      </w:r>
      <w:r>
        <w:rPr>
          <w:rFonts w:hint="eastAsia" w:ascii="宋体" w:hAnsi="宋体" w:eastAsia="宋体" w:cs="宋体"/>
          <w:kern w:val="2"/>
          <w:sz w:val="24"/>
          <w:szCs w:val="24"/>
        </w:rPr>
        <w:t>．提供工作条件：（</w:t>
      </w:r>
      <w:r>
        <w:rPr>
          <w:rFonts w:ascii="宋体" w:hAnsi="宋体" w:eastAsia="宋体" w:cs="宋体"/>
          <w:kern w:val="2"/>
          <w:sz w:val="24"/>
          <w:szCs w:val="24"/>
        </w:rPr>
        <w:t>1</w:t>
      </w:r>
      <w:r>
        <w:rPr>
          <w:rFonts w:hint="eastAsia" w:ascii="宋体" w:hAnsi="宋体" w:eastAsia="宋体" w:cs="宋体"/>
          <w:kern w:val="2"/>
          <w:sz w:val="24"/>
          <w:szCs w:val="24"/>
        </w:rPr>
        <w:t>）</w:t>
      </w:r>
      <w:r>
        <w:rPr>
          <w:rFonts w:ascii="宋体" w:hAnsi="宋体" w:eastAsia="宋体" w:cs="宋体"/>
          <w:kern w:val="2"/>
          <w:sz w:val="24"/>
          <w:szCs w:val="24"/>
          <w:u w:val="single"/>
        </w:rPr>
        <w:t>；</w:t>
      </w:r>
      <w:r>
        <w:rPr>
          <w:rFonts w:hint="eastAsia" w:ascii="宋体" w:hAnsi="宋体" w:eastAsia="宋体" w:cs="宋体"/>
          <w:kern w:val="2"/>
          <w:sz w:val="24"/>
          <w:szCs w:val="24"/>
        </w:rPr>
        <w:t>（</w:t>
      </w:r>
      <w:r>
        <w:rPr>
          <w:rFonts w:ascii="宋体" w:hAnsi="宋体" w:eastAsia="宋体" w:cs="宋体"/>
          <w:kern w:val="2"/>
          <w:sz w:val="24"/>
          <w:szCs w:val="24"/>
        </w:rPr>
        <w:t>2</w:t>
      </w:r>
      <w:r>
        <w:rPr>
          <w:rFonts w:hint="eastAsia" w:ascii="宋体" w:hAnsi="宋体" w:eastAsia="宋体" w:cs="宋体"/>
          <w:kern w:val="2"/>
          <w:sz w:val="24"/>
          <w:szCs w:val="24"/>
        </w:rPr>
        <w:t>）</w:t>
      </w:r>
      <w:r>
        <w:rPr>
          <w:rFonts w:ascii="宋体" w:hAnsi="宋体" w:eastAsia="宋体" w:cs="宋体"/>
          <w:kern w:val="2"/>
          <w:sz w:val="24"/>
          <w:szCs w:val="24"/>
          <w:u w:val="single"/>
        </w:rPr>
        <w:t>；</w:t>
      </w:r>
    </w:p>
    <w:p>
      <w:pPr>
        <w:widowControl w:val="0"/>
        <w:spacing w:before="120" w:after="120" w:line="400" w:lineRule="exact"/>
        <w:ind w:left="550" w:leftChars="250"/>
        <w:rPr>
          <w:rFonts w:ascii="宋体" w:hAnsi="宋体" w:eastAsia="宋体" w:cs="宋体"/>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．其他：</w:t>
      </w:r>
      <w:r>
        <w:rPr>
          <w:rFonts w:ascii="宋体" w:hAnsi="宋体" w:eastAsia="宋体" w:cs="宋体"/>
          <w:kern w:val="2"/>
          <w:sz w:val="24"/>
          <w:szCs w:val="24"/>
          <w:u w:val="single"/>
        </w:rPr>
        <w:t>/</w:t>
      </w:r>
      <w:r>
        <w:rPr>
          <w:rFonts w:hint="eastAsia" w:ascii="宋体" w:hAnsi="宋体" w:eastAsia="宋体" w:cs="宋体"/>
          <w:kern w:val="2"/>
          <w:sz w:val="24"/>
          <w:szCs w:val="24"/>
          <w:u w:val="single"/>
        </w:rPr>
        <w:t>。</w:t>
      </w:r>
      <w:r>
        <w:rPr>
          <w:rFonts w:hint="eastAsia" w:ascii="宋体" w:hAnsi="宋体" w:eastAsia="宋体" w:cs="宋体"/>
          <w:b/>
          <w:kern w:val="2"/>
          <w:sz w:val="24"/>
          <w:szCs w:val="24"/>
        </w:rPr>
        <w:t>第四条</w:t>
      </w:r>
      <w:r>
        <w:rPr>
          <w:rFonts w:ascii="宋体" w:hAnsi="宋体" w:eastAsia="宋体" w:cs="宋体"/>
          <w:kern w:val="2"/>
          <w:sz w:val="24"/>
          <w:szCs w:val="24"/>
        </w:rPr>
        <w:t>技术服务</w:t>
      </w:r>
      <w:r>
        <w:rPr>
          <w:rFonts w:hint="eastAsia" w:ascii="宋体" w:hAnsi="宋体" w:eastAsia="宋体" w:cs="宋体"/>
          <w:kern w:val="2"/>
          <w:sz w:val="24"/>
          <w:szCs w:val="24"/>
        </w:rPr>
        <w:t>费</w:t>
      </w:r>
      <w:r>
        <w:rPr>
          <w:rFonts w:ascii="宋体" w:hAnsi="宋体" w:eastAsia="宋体" w:cs="宋体"/>
          <w:kern w:val="2"/>
          <w:sz w:val="24"/>
          <w:szCs w:val="24"/>
        </w:rPr>
        <w:t>及支付方式</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．技术服务费总额为：；</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ascii="宋体" w:hAnsi="宋体" w:eastAsia="宋体" w:cs="宋体"/>
          <w:kern w:val="2"/>
          <w:sz w:val="24"/>
          <w:szCs w:val="24"/>
        </w:rPr>
        <w:t>2</w:t>
      </w:r>
      <w:r>
        <w:rPr>
          <w:rFonts w:hint="eastAsia" w:ascii="宋体" w:hAnsi="宋体" w:eastAsia="宋体" w:cs="宋体"/>
          <w:kern w:val="2"/>
          <w:sz w:val="24"/>
          <w:szCs w:val="24"/>
        </w:rPr>
        <w:t>．技术服务费由甲方</w:t>
      </w:r>
      <w:r>
        <w:rPr>
          <w:rFonts w:ascii="宋体" w:hAnsi="宋体" w:eastAsia="宋体" w:cs="宋体"/>
          <w:kern w:val="2"/>
          <w:sz w:val="24"/>
          <w:szCs w:val="24"/>
          <w:u w:val="single"/>
        </w:rPr>
        <w:t>（一次或分期）</w:t>
      </w:r>
      <w:r>
        <w:rPr>
          <w:rFonts w:hint="eastAsia" w:ascii="宋体" w:hAnsi="宋体" w:eastAsia="宋体" w:cs="宋体"/>
          <w:kern w:val="2"/>
          <w:sz w:val="24"/>
          <w:szCs w:val="24"/>
        </w:rPr>
        <w:t>支付给乙方。</w:t>
      </w:r>
    </w:p>
    <w:p>
      <w:pPr>
        <w:widowControl w:val="0"/>
        <w:spacing w:before="120" w:after="12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具体支付方式和时间如下：</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2023年12月20日课程内容调试成功，可以正常使用，验收合格后支付合同金额的50%，一年后（2024年12月20日）支付尾款（无息）。</w:t>
      </w:r>
    </w:p>
    <w:p>
      <w:pPr>
        <w:widowControl w:val="0"/>
        <w:spacing w:before="120" w:after="12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乙方开户银行名称、账户名称和帐号为：</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开户银行：</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账户名称：</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帐号：</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第五条</w:t>
      </w:r>
      <w:r>
        <w:rPr>
          <w:rFonts w:ascii="宋体" w:hAnsi="宋体" w:eastAsia="宋体" w:cs="宋体"/>
          <w:kern w:val="2"/>
          <w:sz w:val="24"/>
          <w:szCs w:val="24"/>
        </w:rPr>
        <w:t>双方确定因履行本合同应遵守的保密义务如下：</w:t>
      </w:r>
    </w:p>
    <w:p>
      <w:pPr>
        <w:widowControl w:val="0"/>
        <w:spacing w:before="120" w:after="120" w:line="400" w:lineRule="exact"/>
        <w:ind w:firstLine="480" w:firstLineChars="200"/>
        <w:rPr>
          <w:rFonts w:ascii="宋体" w:hAnsi="宋体" w:eastAsia="宋体" w:cs="宋体"/>
          <w:kern w:val="2"/>
          <w:sz w:val="24"/>
          <w:szCs w:val="24"/>
        </w:rPr>
      </w:pPr>
      <w:r>
        <w:rPr>
          <w:rFonts w:ascii="宋体" w:hAnsi="宋体" w:eastAsia="宋体" w:cs="宋体"/>
          <w:kern w:val="2"/>
          <w:sz w:val="24"/>
          <w:szCs w:val="24"/>
        </w:rPr>
        <w:t>5.1.</w:t>
      </w:r>
      <w:r>
        <w:rPr>
          <w:rFonts w:hint="eastAsia" w:ascii="宋体" w:hAnsi="宋体" w:eastAsia="宋体" w:cs="宋体"/>
          <w:kern w:val="2"/>
          <w:sz w:val="24"/>
          <w:szCs w:val="24"/>
        </w:rPr>
        <w:t>甲方：</w:t>
      </w:r>
    </w:p>
    <w:p>
      <w:pPr>
        <w:widowControl w:val="0"/>
        <w:spacing w:before="120" w:after="120" w:line="400" w:lineRule="exact"/>
        <w:ind w:left="550" w:leftChars="250"/>
        <w:rPr>
          <w:rFonts w:hint="eastAsia" w:ascii="宋体" w:hAnsi="宋体" w:eastAsia="宋体" w:cs="宋体"/>
          <w:kern w:val="2"/>
          <w:sz w:val="24"/>
          <w:szCs w:val="24"/>
          <w:lang w:eastAsia="zh-CN"/>
        </w:rPr>
      </w:pPr>
      <w:r>
        <w:rPr>
          <w:rFonts w:ascii="宋体" w:hAnsi="宋体" w:eastAsia="宋体" w:cs="宋体"/>
          <w:kern w:val="2"/>
          <w:sz w:val="24"/>
          <w:szCs w:val="24"/>
        </w:rPr>
        <w:t>5.1.1.</w:t>
      </w:r>
      <w:r>
        <w:rPr>
          <w:rFonts w:hint="eastAsia" w:ascii="宋体" w:hAnsi="宋体" w:eastAsia="宋体" w:cs="宋体"/>
          <w:kern w:val="2"/>
          <w:sz w:val="24"/>
          <w:szCs w:val="24"/>
        </w:rPr>
        <w:t>保密内容（包括技术信息和经营信息）</w:t>
      </w:r>
      <w:r>
        <w:rPr>
          <w:rFonts w:ascii="宋体" w:hAnsi="宋体" w:eastAsia="宋体" w:cs="宋体"/>
          <w:kern w:val="2"/>
          <w:sz w:val="24"/>
          <w:szCs w:val="24"/>
        </w:rPr>
        <w:t>:5.1.2.</w:t>
      </w:r>
      <w:r>
        <w:rPr>
          <w:rFonts w:hint="eastAsia" w:ascii="宋体" w:hAnsi="宋体" w:eastAsia="宋体" w:cs="宋体"/>
          <w:kern w:val="2"/>
          <w:sz w:val="24"/>
          <w:szCs w:val="24"/>
        </w:rPr>
        <w:t>涉密人员范围</w:t>
      </w:r>
      <w:r>
        <w:rPr>
          <w:rFonts w:ascii="宋体" w:hAnsi="宋体" w:eastAsia="宋体" w:cs="宋体"/>
          <w:kern w:val="2"/>
          <w:sz w:val="24"/>
          <w:szCs w:val="24"/>
        </w:rPr>
        <w:t>:</w:t>
      </w:r>
    </w:p>
    <w:p>
      <w:pPr>
        <w:widowControl w:val="0"/>
        <w:spacing w:before="120" w:after="120" w:line="400" w:lineRule="exact"/>
        <w:ind w:firstLine="480" w:firstLineChars="200"/>
        <w:rPr>
          <w:rFonts w:hint="eastAsia" w:ascii="宋体" w:hAnsi="宋体" w:eastAsia="宋体" w:cs="宋体"/>
          <w:kern w:val="2"/>
          <w:sz w:val="24"/>
          <w:szCs w:val="24"/>
          <w:lang w:eastAsia="zh-CN"/>
        </w:rPr>
      </w:pPr>
      <w:r>
        <w:rPr>
          <w:rFonts w:ascii="宋体" w:hAnsi="宋体" w:eastAsia="宋体" w:cs="宋体"/>
          <w:kern w:val="2"/>
          <w:sz w:val="24"/>
          <w:szCs w:val="24"/>
        </w:rPr>
        <w:t>5.1.3.</w:t>
      </w:r>
      <w:r>
        <w:rPr>
          <w:rFonts w:hint="eastAsia" w:ascii="宋体" w:hAnsi="宋体" w:eastAsia="宋体" w:cs="宋体"/>
          <w:kern w:val="2"/>
          <w:sz w:val="24"/>
          <w:szCs w:val="24"/>
        </w:rPr>
        <w:t>保密期限：</w:t>
      </w:r>
    </w:p>
    <w:p>
      <w:pPr>
        <w:widowControl w:val="0"/>
        <w:spacing w:before="120" w:after="120" w:line="400" w:lineRule="exact"/>
        <w:ind w:firstLine="480" w:firstLineChars="200"/>
        <w:rPr>
          <w:rFonts w:hint="eastAsia" w:ascii="宋体" w:hAnsi="宋体" w:eastAsia="宋体" w:cs="宋体"/>
          <w:kern w:val="2"/>
          <w:sz w:val="24"/>
          <w:szCs w:val="24"/>
          <w:lang w:eastAsia="zh-CN"/>
        </w:rPr>
      </w:pPr>
      <w:r>
        <w:rPr>
          <w:rFonts w:ascii="宋体" w:hAnsi="宋体" w:eastAsia="宋体" w:cs="宋体"/>
          <w:kern w:val="2"/>
          <w:sz w:val="24"/>
          <w:szCs w:val="24"/>
        </w:rPr>
        <w:t>5.1.4.</w:t>
      </w:r>
      <w:r>
        <w:rPr>
          <w:rFonts w:hint="eastAsia" w:ascii="宋体" w:hAnsi="宋体" w:eastAsia="宋体" w:cs="宋体"/>
          <w:kern w:val="2"/>
          <w:sz w:val="24"/>
          <w:szCs w:val="24"/>
        </w:rPr>
        <w:t>泄密责任：</w:t>
      </w:r>
    </w:p>
    <w:p>
      <w:pPr>
        <w:widowControl w:val="0"/>
        <w:spacing w:before="120" w:after="120" w:line="400" w:lineRule="exact"/>
        <w:ind w:firstLine="480" w:firstLineChars="200"/>
        <w:rPr>
          <w:rFonts w:ascii="宋体" w:hAnsi="宋体" w:eastAsia="宋体" w:cs="宋体"/>
          <w:kern w:val="2"/>
          <w:sz w:val="24"/>
          <w:szCs w:val="24"/>
        </w:rPr>
      </w:pPr>
      <w:r>
        <w:rPr>
          <w:rFonts w:ascii="宋体" w:hAnsi="宋体" w:eastAsia="宋体" w:cs="宋体"/>
          <w:kern w:val="2"/>
          <w:sz w:val="24"/>
          <w:szCs w:val="24"/>
        </w:rPr>
        <w:t>5.2.</w:t>
      </w:r>
      <w:r>
        <w:rPr>
          <w:rFonts w:hint="eastAsia" w:ascii="宋体" w:hAnsi="宋体" w:eastAsia="宋体" w:cs="宋体"/>
          <w:kern w:val="2"/>
          <w:sz w:val="24"/>
          <w:szCs w:val="24"/>
        </w:rPr>
        <w:t>乙方：</w:t>
      </w:r>
    </w:p>
    <w:p>
      <w:pPr>
        <w:widowControl w:val="0"/>
        <w:spacing w:before="120" w:after="120" w:line="400" w:lineRule="exact"/>
        <w:ind w:left="550" w:leftChars="250"/>
        <w:rPr>
          <w:rFonts w:hint="eastAsia" w:ascii="宋体" w:hAnsi="宋体" w:eastAsia="宋体" w:cs="宋体"/>
          <w:kern w:val="2"/>
          <w:sz w:val="24"/>
          <w:szCs w:val="24"/>
          <w:lang w:eastAsia="zh-CN"/>
        </w:rPr>
      </w:pPr>
      <w:r>
        <w:rPr>
          <w:rFonts w:ascii="宋体" w:hAnsi="宋体" w:eastAsia="宋体" w:cs="宋体"/>
          <w:kern w:val="2"/>
          <w:sz w:val="24"/>
          <w:szCs w:val="24"/>
        </w:rPr>
        <w:t>5.2.1.</w:t>
      </w:r>
      <w:r>
        <w:rPr>
          <w:rFonts w:hint="eastAsia" w:ascii="宋体" w:hAnsi="宋体" w:eastAsia="宋体" w:cs="宋体"/>
          <w:kern w:val="2"/>
          <w:sz w:val="24"/>
          <w:szCs w:val="24"/>
        </w:rPr>
        <w:t>保密内容（包括技术信息和经营信息）</w:t>
      </w:r>
      <w:r>
        <w:rPr>
          <w:rFonts w:ascii="宋体" w:hAnsi="宋体" w:eastAsia="宋体" w:cs="宋体"/>
          <w:kern w:val="2"/>
          <w:sz w:val="24"/>
          <w:szCs w:val="24"/>
        </w:rPr>
        <w:t>:5.2.2.</w:t>
      </w:r>
      <w:r>
        <w:rPr>
          <w:rFonts w:hint="eastAsia" w:ascii="宋体" w:hAnsi="宋体" w:eastAsia="宋体" w:cs="宋体"/>
          <w:kern w:val="2"/>
          <w:sz w:val="24"/>
          <w:szCs w:val="24"/>
        </w:rPr>
        <w:t>涉密人员范围</w:t>
      </w:r>
      <w:r>
        <w:rPr>
          <w:rFonts w:ascii="宋体" w:hAnsi="宋体" w:eastAsia="宋体" w:cs="宋体"/>
          <w:kern w:val="2"/>
          <w:sz w:val="24"/>
          <w:szCs w:val="24"/>
        </w:rPr>
        <w:t>:</w:t>
      </w:r>
    </w:p>
    <w:p>
      <w:pPr>
        <w:widowControl w:val="0"/>
        <w:spacing w:before="120" w:after="120" w:line="400" w:lineRule="exact"/>
        <w:ind w:firstLine="480" w:firstLineChars="200"/>
        <w:rPr>
          <w:rFonts w:hint="eastAsia" w:ascii="宋体" w:hAnsi="宋体" w:eastAsia="宋体" w:cs="宋体"/>
          <w:kern w:val="2"/>
          <w:sz w:val="24"/>
          <w:szCs w:val="24"/>
          <w:lang w:eastAsia="zh-CN"/>
        </w:rPr>
      </w:pPr>
      <w:r>
        <w:rPr>
          <w:rFonts w:ascii="宋体" w:hAnsi="宋体" w:eastAsia="宋体" w:cs="宋体"/>
          <w:kern w:val="2"/>
          <w:sz w:val="24"/>
          <w:szCs w:val="24"/>
        </w:rPr>
        <w:t>5.2.3.</w:t>
      </w:r>
      <w:r>
        <w:rPr>
          <w:rFonts w:hint="eastAsia" w:ascii="宋体" w:hAnsi="宋体" w:eastAsia="宋体" w:cs="宋体"/>
          <w:kern w:val="2"/>
          <w:sz w:val="24"/>
          <w:szCs w:val="24"/>
        </w:rPr>
        <w:t>保密期限：</w:t>
      </w:r>
    </w:p>
    <w:p>
      <w:pPr>
        <w:widowControl w:val="0"/>
        <w:spacing w:before="120" w:after="120" w:line="400" w:lineRule="exact"/>
        <w:ind w:firstLine="480" w:firstLineChars="200"/>
        <w:rPr>
          <w:rFonts w:hint="eastAsia" w:ascii="宋体" w:hAnsi="宋体" w:eastAsia="宋体" w:cs="宋体"/>
          <w:kern w:val="2"/>
          <w:sz w:val="24"/>
          <w:szCs w:val="24"/>
          <w:lang w:eastAsia="zh-CN"/>
        </w:rPr>
      </w:pPr>
      <w:r>
        <w:rPr>
          <w:rFonts w:ascii="宋体" w:hAnsi="宋体" w:eastAsia="宋体" w:cs="宋体"/>
          <w:kern w:val="2"/>
          <w:sz w:val="24"/>
          <w:szCs w:val="24"/>
        </w:rPr>
        <w:t>5.2.4.</w:t>
      </w:r>
      <w:r>
        <w:rPr>
          <w:rFonts w:hint="eastAsia" w:ascii="宋体" w:hAnsi="宋体" w:eastAsia="宋体" w:cs="宋体"/>
          <w:kern w:val="2"/>
          <w:sz w:val="24"/>
          <w:szCs w:val="24"/>
        </w:rPr>
        <w:t>泄密责任：</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第六条</w:t>
      </w:r>
      <w:r>
        <w:rPr>
          <w:rFonts w:ascii="宋体" w:hAnsi="宋体" w:eastAsia="宋体" w:cs="宋体"/>
          <w:kern w:val="2"/>
          <w:sz w:val="24"/>
          <w:szCs w:val="24"/>
        </w:rPr>
        <w:t>本合同的变更必须由双方协商一致，并以书面形式确定。</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第七条</w:t>
      </w:r>
      <w:r>
        <w:rPr>
          <w:rFonts w:ascii="宋体" w:hAnsi="宋体" w:eastAsia="宋体" w:cs="宋体"/>
          <w:kern w:val="2"/>
          <w:sz w:val="24"/>
          <w:szCs w:val="24"/>
        </w:rPr>
        <w:t>双方确定以下列标准和方式对乙方的技术服务工作成果进行验收：</w:t>
      </w:r>
    </w:p>
    <w:p>
      <w:pPr>
        <w:widowControl w:val="0"/>
        <w:spacing w:before="120" w:after="120" w:line="400" w:lineRule="exact"/>
        <w:ind w:firstLine="600" w:firstLineChars="250"/>
        <w:jc w:val="both"/>
        <w:rPr>
          <w:rFonts w:ascii="宋体" w:hAnsi="宋体" w:eastAsia="宋体" w:cs="宋体"/>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．乙方完成技术服务工作的形式：</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．技术服务工作成果的验收标准：</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．技术服务工作成果的验收方法：</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．验收的时间和地点：</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第八条</w:t>
      </w:r>
      <w:r>
        <w:rPr>
          <w:rFonts w:ascii="宋体" w:hAnsi="宋体" w:eastAsia="宋体" w:cs="宋体"/>
          <w:kern w:val="2"/>
          <w:sz w:val="24"/>
          <w:szCs w:val="24"/>
        </w:rPr>
        <w:t>知识产权</w:t>
      </w:r>
      <w:r>
        <w:rPr>
          <w:rFonts w:hint="eastAsia" w:ascii="宋体" w:hAnsi="宋体" w:eastAsia="宋体" w:cs="宋体"/>
          <w:kern w:val="2"/>
          <w:sz w:val="24"/>
          <w:szCs w:val="24"/>
        </w:rPr>
        <w:t>归属</w:t>
      </w:r>
      <w:r>
        <w:rPr>
          <w:rFonts w:ascii="宋体" w:hAnsi="宋体" w:eastAsia="宋体" w:cs="宋体"/>
          <w:kern w:val="2"/>
          <w:sz w:val="24"/>
          <w:szCs w:val="24"/>
        </w:rPr>
        <w:t>：</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w:t>
      </w:r>
      <w:r>
        <w:rPr>
          <w:rFonts w:hint="eastAsia" w:ascii="宋体" w:hAnsi="宋体" w:eastAsia="宋体" w:cs="宋体"/>
          <w:kern w:val="2"/>
          <w:sz w:val="24"/>
          <w:szCs w:val="24"/>
        </w:rPr>
        <w:t>．在本合同有效期内，甲方利用乙方提交的技术服务工作成果所完成的新的技术成果，归甲方所有。</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2</w:t>
      </w:r>
      <w:r>
        <w:rPr>
          <w:rFonts w:hint="eastAsia" w:ascii="宋体" w:hAnsi="宋体" w:eastAsia="宋体" w:cs="宋体"/>
          <w:kern w:val="2"/>
          <w:sz w:val="24"/>
          <w:szCs w:val="24"/>
        </w:rPr>
        <w:t>．在本合同有效期内，乙方利用甲方提供的技术资料和工作条件所完成的新的技术成果，归甲方所有。</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第九条</w:t>
      </w:r>
      <w:r>
        <w:rPr>
          <w:rFonts w:ascii="宋体" w:hAnsi="宋体" w:eastAsia="宋体" w:cs="宋体"/>
          <w:kern w:val="2"/>
          <w:sz w:val="24"/>
          <w:szCs w:val="24"/>
        </w:rPr>
        <w:t>双方确定，按以下约定承担各自的违约责任：</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1.甲方无故逾期</w:t>
      </w:r>
      <w:r>
        <w:rPr>
          <w:rFonts w:hint="eastAsia" w:ascii="宋体" w:hAnsi="宋体" w:eastAsia="宋体" w:cs="宋体"/>
          <w:kern w:val="2"/>
          <w:sz w:val="24"/>
          <w:szCs w:val="24"/>
        </w:rPr>
        <w:t>支付服务费的</w:t>
      </w:r>
      <w:r>
        <w:rPr>
          <w:rFonts w:ascii="宋体" w:hAnsi="宋体" w:eastAsia="宋体" w:cs="宋体"/>
          <w:kern w:val="2"/>
          <w:sz w:val="24"/>
          <w:szCs w:val="24"/>
        </w:rPr>
        <w:t>,甲方应按逾期付款总额每日</w:t>
      </w:r>
      <w:r>
        <w:rPr>
          <w:rFonts w:hint="eastAsia" w:ascii="宋体" w:hAnsi="宋体" w:eastAsia="宋体" w:cs="宋体"/>
          <w:kern w:val="2"/>
          <w:sz w:val="24"/>
          <w:szCs w:val="24"/>
        </w:rPr>
        <w:t>万</w:t>
      </w:r>
      <w:r>
        <w:rPr>
          <w:rFonts w:ascii="宋体" w:hAnsi="宋体" w:eastAsia="宋体" w:cs="宋体"/>
          <w:kern w:val="2"/>
          <w:sz w:val="24"/>
          <w:szCs w:val="24"/>
        </w:rPr>
        <w:t>分之五向乙方支付违约金。</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ascii="宋体" w:hAnsi="宋体" w:eastAsia="宋体" w:cs="宋体"/>
          <w:kern w:val="2"/>
          <w:sz w:val="24"/>
          <w:szCs w:val="24"/>
        </w:rPr>
        <w:t>2.乙方逾期交付</w:t>
      </w:r>
      <w:r>
        <w:rPr>
          <w:rFonts w:hint="eastAsia" w:ascii="宋体" w:hAnsi="宋体" w:eastAsia="宋体" w:cs="宋体"/>
          <w:kern w:val="2"/>
          <w:sz w:val="24"/>
          <w:szCs w:val="24"/>
        </w:rPr>
        <w:t>服务成果</w:t>
      </w:r>
      <w:r>
        <w:rPr>
          <w:rFonts w:ascii="宋体" w:hAnsi="宋体" w:eastAsia="宋体" w:cs="宋体"/>
          <w:kern w:val="2"/>
          <w:sz w:val="24"/>
          <w:szCs w:val="24"/>
        </w:rPr>
        <w:t>的，乙方应按</w:t>
      </w:r>
      <w:r>
        <w:rPr>
          <w:rFonts w:hint="eastAsia" w:ascii="宋体" w:hAnsi="宋体" w:eastAsia="宋体" w:cs="宋体"/>
          <w:kern w:val="2"/>
          <w:sz w:val="24"/>
          <w:szCs w:val="24"/>
        </w:rPr>
        <w:t>本合同总金额的</w:t>
      </w:r>
      <w:r>
        <w:rPr>
          <w:rFonts w:ascii="宋体" w:hAnsi="宋体" w:eastAsia="宋体" w:cs="宋体"/>
          <w:kern w:val="2"/>
          <w:sz w:val="24"/>
          <w:szCs w:val="24"/>
        </w:rPr>
        <w:t>每日</w:t>
      </w:r>
      <w:r>
        <w:rPr>
          <w:rFonts w:hint="eastAsia" w:ascii="宋体" w:hAnsi="宋体" w:eastAsia="宋体" w:cs="宋体"/>
          <w:kern w:val="2"/>
          <w:sz w:val="24"/>
          <w:szCs w:val="24"/>
        </w:rPr>
        <w:t>万</w:t>
      </w:r>
      <w:r>
        <w:rPr>
          <w:rFonts w:ascii="宋体" w:hAnsi="宋体" w:eastAsia="宋体" w:cs="宋体"/>
          <w:kern w:val="2"/>
          <w:sz w:val="24"/>
          <w:szCs w:val="24"/>
        </w:rPr>
        <w:t>分之</w:t>
      </w:r>
      <w:r>
        <w:rPr>
          <w:rFonts w:hint="eastAsia" w:ascii="宋体" w:hAnsi="宋体" w:eastAsia="宋体" w:cs="宋体"/>
          <w:kern w:val="2"/>
          <w:sz w:val="24"/>
          <w:szCs w:val="24"/>
        </w:rPr>
        <w:t>五</w:t>
      </w:r>
      <w:r>
        <w:rPr>
          <w:rFonts w:ascii="宋体" w:hAnsi="宋体" w:eastAsia="宋体" w:cs="宋体"/>
          <w:kern w:val="2"/>
          <w:sz w:val="24"/>
          <w:szCs w:val="24"/>
        </w:rPr>
        <w:t>向甲方支付违约金。逾期超过约定日期10个工作日</w:t>
      </w:r>
      <w:r>
        <w:rPr>
          <w:rFonts w:hint="eastAsia" w:ascii="宋体" w:hAnsi="宋体" w:eastAsia="宋体" w:cs="宋体"/>
          <w:kern w:val="2"/>
          <w:sz w:val="24"/>
          <w:szCs w:val="24"/>
        </w:rPr>
        <w:t>仍</w:t>
      </w:r>
      <w:r>
        <w:rPr>
          <w:rFonts w:ascii="宋体" w:hAnsi="宋体" w:eastAsia="宋体" w:cs="宋体"/>
          <w:kern w:val="2"/>
          <w:sz w:val="24"/>
          <w:szCs w:val="24"/>
        </w:rPr>
        <w:t>不能</w:t>
      </w:r>
      <w:r>
        <w:rPr>
          <w:rFonts w:hint="eastAsia" w:ascii="宋体" w:hAnsi="宋体" w:eastAsia="宋体" w:cs="宋体"/>
          <w:kern w:val="2"/>
          <w:sz w:val="24"/>
          <w:szCs w:val="24"/>
        </w:rPr>
        <w:t>交付</w:t>
      </w:r>
      <w:r>
        <w:rPr>
          <w:rFonts w:ascii="宋体" w:hAnsi="宋体" w:eastAsia="宋体" w:cs="宋体"/>
          <w:kern w:val="2"/>
          <w:sz w:val="24"/>
          <w:szCs w:val="24"/>
        </w:rPr>
        <w:t>的，甲方可解除本合同。乙方因逾期</w:t>
      </w:r>
      <w:r>
        <w:rPr>
          <w:rFonts w:hint="eastAsia" w:ascii="宋体" w:hAnsi="宋体" w:eastAsia="宋体" w:cs="宋体"/>
          <w:kern w:val="2"/>
          <w:sz w:val="24"/>
          <w:szCs w:val="24"/>
        </w:rPr>
        <w:t>交付</w:t>
      </w:r>
      <w:r>
        <w:rPr>
          <w:rFonts w:ascii="宋体" w:hAnsi="宋体" w:eastAsia="宋体" w:cs="宋体"/>
          <w:kern w:val="2"/>
          <w:sz w:val="24"/>
          <w:szCs w:val="24"/>
        </w:rPr>
        <w:t>或因其他违约行为导致甲方解除合同的，乙方应向甲方</w:t>
      </w:r>
      <w:r>
        <w:rPr>
          <w:rFonts w:hint="eastAsia" w:ascii="宋体" w:hAnsi="宋体" w:eastAsia="宋体" w:cs="宋体"/>
          <w:kern w:val="2"/>
          <w:sz w:val="24"/>
          <w:szCs w:val="24"/>
        </w:rPr>
        <w:t>退还已收到的技术服务费，并向甲方</w:t>
      </w:r>
      <w:r>
        <w:rPr>
          <w:rFonts w:ascii="宋体" w:hAnsi="宋体" w:eastAsia="宋体" w:cs="宋体"/>
          <w:kern w:val="2"/>
          <w:sz w:val="24"/>
          <w:szCs w:val="24"/>
        </w:rPr>
        <w:t>支付</w:t>
      </w:r>
      <w:r>
        <w:rPr>
          <w:rFonts w:hint="eastAsia" w:ascii="宋体" w:hAnsi="宋体" w:eastAsia="宋体" w:cs="宋体"/>
          <w:kern w:val="2"/>
          <w:sz w:val="24"/>
          <w:szCs w:val="24"/>
        </w:rPr>
        <w:t>本</w:t>
      </w:r>
      <w:r>
        <w:rPr>
          <w:rFonts w:ascii="宋体" w:hAnsi="宋体" w:eastAsia="宋体" w:cs="宋体"/>
          <w:kern w:val="2"/>
          <w:sz w:val="24"/>
          <w:szCs w:val="24"/>
        </w:rPr>
        <w:t>合同总</w:t>
      </w:r>
      <w:r>
        <w:rPr>
          <w:rFonts w:hint="eastAsia" w:ascii="宋体" w:hAnsi="宋体" w:eastAsia="宋体" w:cs="宋体"/>
          <w:kern w:val="2"/>
          <w:sz w:val="24"/>
          <w:szCs w:val="24"/>
        </w:rPr>
        <w:t>金额</w:t>
      </w:r>
      <w:r>
        <w:rPr>
          <w:rFonts w:ascii="宋体" w:hAnsi="宋体" w:eastAsia="宋体" w:cs="宋体"/>
          <w:kern w:val="2"/>
          <w:sz w:val="24"/>
          <w:szCs w:val="24"/>
        </w:rPr>
        <w:t>5%的违约金，如造成甲方损失超过违约金的，超出部分由乙方继续承担赔偿责任。</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3.</w:t>
      </w:r>
      <w:r>
        <w:rPr>
          <w:rFonts w:hint="eastAsia" w:ascii="宋体" w:hAnsi="宋体" w:eastAsia="宋体" w:cs="宋体"/>
          <w:kern w:val="2"/>
          <w:sz w:val="24"/>
          <w:szCs w:val="24"/>
        </w:rPr>
        <w:t>乙方供给甲方的设备、材料及乙方自己的施工用具，进入甲方现场后的保管，由乙方负责，乙方在甲方现场安装、调试、验收人员的安全、保险、食宿和交通由乙方全权负责。</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4.</w:t>
      </w:r>
      <w:r>
        <w:rPr>
          <w:rFonts w:hint="eastAsia" w:ascii="宋体" w:hAnsi="宋体" w:eastAsia="宋体" w:cs="宋体"/>
          <w:kern w:val="2"/>
          <w:sz w:val="24"/>
          <w:szCs w:val="24"/>
        </w:rPr>
        <w:t>如乙方的技术服务成果第一次不能通过验收，乙方可在规定时间内重新提供服务或者按照合同要求修改；如仍不能通过验收，甲方可单方解除合同，并要求乙方退还已收到的技术服务费，且乙方还应向甲方支付合同总额</w:t>
      </w:r>
      <w:r>
        <w:rPr>
          <w:rFonts w:ascii="宋体" w:hAnsi="宋体" w:eastAsia="宋体" w:cs="宋体"/>
          <w:kern w:val="2"/>
          <w:sz w:val="24"/>
          <w:szCs w:val="24"/>
        </w:rPr>
        <w:t>10%的违约金作为赔偿。</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5.本合同</w:t>
      </w:r>
      <w:r>
        <w:rPr>
          <w:rFonts w:hint="eastAsia" w:ascii="宋体" w:hAnsi="宋体" w:eastAsia="宋体" w:cs="宋体"/>
          <w:kern w:val="2"/>
          <w:sz w:val="24"/>
          <w:szCs w:val="24"/>
        </w:rPr>
        <w:t>项下</w:t>
      </w:r>
      <w:r>
        <w:rPr>
          <w:rFonts w:ascii="宋体" w:hAnsi="宋体" w:eastAsia="宋体" w:cs="宋体"/>
          <w:kern w:val="2"/>
          <w:sz w:val="24"/>
          <w:szCs w:val="24"/>
        </w:rPr>
        <w:t>所有</w:t>
      </w:r>
      <w:r>
        <w:rPr>
          <w:rFonts w:hint="eastAsia" w:ascii="宋体" w:hAnsi="宋体" w:eastAsia="宋体" w:cs="宋体"/>
          <w:kern w:val="2"/>
          <w:sz w:val="24"/>
          <w:szCs w:val="24"/>
        </w:rPr>
        <w:t>技术服务</w:t>
      </w:r>
      <w:r>
        <w:rPr>
          <w:rFonts w:ascii="宋体" w:hAnsi="宋体" w:eastAsia="宋体" w:cs="宋体"/>
          <w:kern w:val="2"/>
          <w:sz w:val="24"/>
          <w:szCs w:val="24"/>
        </w:rPr>
        <w:t>的内容，</w:t>
      </w:r>
      <w:r>
        <w:rPr>
          <w:rFonts w:hint="eastAsia" w:ascii="宋体" w:hAnsi="宋体" w:eastAsia="宋体" w:cs="宋体"/>
          <w:kern w:val="2"/>
          <w:sz w:val="24"/>
          <w:szCs w:val="24"/>
        </w:rPr>
        <w:t>均由乙方单独承担，不得分包或者转包给其他单位或个人，否则，甲方有权单方解除合同，并要求乙方退还已收到的技术服务费，且乙方还应向甲方支付合同总额</w:t>
      </w:r>
      <w:r>
        <w:rPr>
          <w:rFonts w:ascii="宋体" w:hAnsi="宋体" w:eastAsia="宋体" w:cs="宋体"/>
          <w:kern w:val="2"/>
          <w:sz w:val="24"/>
          <w:szCs w:val="24"/>
        </w:rPr>
        <w:t>10%的违约金作为赔偿。</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6.</w:t>
      </w:r>
      <w:r>
        <w:rPr>
          <w:rFonts w:hint="eastAsia" w:ascii="宋体" w:hAnsi="宋体" w:eastAsia="宋体" w:cs="宋体"/>
          <w:kern w:val="2"/>
          <w:sz w:val="24"/>
          <w:szCs w:val="24"/>
        </w:rPr>
        <w:t>乙方履行义务不符合合同约定，甲方有权扣减本合同总金额10%的技术服务费</w:t>
      </w:r>
      <w:r>
        <w:rPr>
          <w:rFonts w:ascii="宋体" w:hAnsi="宋体" w:eastAsia="宋体" w:cs="宋体"/>
          <w:kern w:val="2"/>
          <w:sz w:val="24"/>
          <w:szCs w:val="24"/>
        </w:rPr>
        <w:t>，尾款不足</w:t>
      </w:r>
      <w:r>
        <w:rPr>
          <w:rFonts w:hint="eastAsia" w:ascii="宋体" w:hAnsi="宋体" w:eastAsia="宋体" w:cs="宋体"/>
          <w:kern w:val="2"/>
          <w:sz w:val="24"/>
          <w:szCs w:val="24"/>
        </w:rPr>
        <w:t>10%的，乙方应当补足</w:t>
      </w:r>
      <w:r>
        <w:rPr>
          <w:rFonts w:ascii="宋体" w:hAnsi="宋体" w:eastAsia="宋体" w:cs="宋体"/>
          <w:kern w:val="2"/>
          <w:sz w:val="24"/>
          <w:szCs w:val="24"/>
        </w:rPr>
        <w:t>。</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第十条</w:t>
      </w:r>
      <w:r>
        <w:rPr>
          <w:rFonts w:hint="eastAsia" w:ascii="宋体" w:hAnsi="宋体" w:eastAsia="宋体" w:cs="宋体"/>
          <w:kern w:val="2"/>
          <w:sz w:val="24"/>
          <w:szCs w:val="24"/>
        </w:rPr>
        <w:t>双方确定，在本合同有效期内，甲方指定为甲方项目联系人，乙方指定为乙方项目联系人。</w:t>
      </w:r>
    </w:p>
    <w:p>
      <w:pPr>
        <w:widowControl w:val="0"/>
        <w:spacing w:before="120" w:after="120" w:line="400" w:lineRule="exact"/>
        <w:ind w:firstLine="480" w:firstLineChars="200"/>
        <w:jc w:val="both"/>
        <w:rPr>
          <w:rFonts w:ascii="宋体" w:hAnsi="宋体" w:eastAsia="宋体" w:cs="宋体"/>
          <w:kern w:val="2"/>
          <w:sz w:val="24"/>
          <w:szCs w:val="24"/>
        </w:rPr>
      </w:pPr>
      <w:r>
        <w:rPr>
          <w:rFonts w:hint="eastAsia" w:ascii="宋体" w:hAnsi="宋体" w:eastAsia="宋体" w:cs="宋体"/>
          <w:kern w:val="2"/>
          <w:sz w:val="24"/>
          <w:szCs w:val="24"/>
        </w:rPr>
        <w:t>一方变更项目联系人的，应当及时以书面形式通知另一方。未及时通知并影响本合同履行或造成损失的，应承担相应的责任。</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第十一条</w:t>
      </w:r>
      <w:r>
        <w:rPr>
          <w:rFonts w:ascii="宋体" w:hAnsi="宋体" w:eastAsia="宋体" w:cs="宋体"/>
          <w:kern w:val="2"/>
          <w:sz w:val="24"/>
          <w:szCs w:val="24"/>
        </w:rPr>
        <w:t>不可抗力事件处理</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1.在合同有效期内，任何一方因不可抗力事件导致不能履行合同，则合同履行期可延长，其延长期与不可抗力影响期相同。</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2.不可抗力事件发生后</w:t>
      </w:r>
      <w:r>
        <w:rPr>
          <w:rFonts w:hint="eastAsia" w:ascii="宋体" w:hAnsi="宋体" w:eastAsia="宋体" w:cs="宋体"/>
          <w:kern w:val="2"/>
          <w:sz w:val="24"/>
          <w:szCs w:val="24"/>
        </w:rPr>
        <w:t>，</w:t>
      </w:r>
      <w:r>
        <w:rPr>
          <w:rFonts w:ascii="宋体" w:hAnsi="宋体" w:eastAsia="宋体" w:cs="宋体"/>
          <w:kern w:val="2"/>
          <w:sz w:val="24"/>
          <w:szCs w:val="24"/>
        </w:rPr>
        <w:t>应立即通知对方，并寄送有关权威机构出具的证明。</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3.不可抗力事件延续30天以上，双方应通过友好协商，</w:t>
      </w:r>
      <w:r>
        <w:rPr>
          <w:rFonts w:hint="eastAsia" w:ascii="宋体" w:hAnsi="宋体" w:eastAsia="宋体" w:cs="宋体"/>
          <w:kern w:val="2"/>
          <w:sz w:val="24"/>
          <w:szCs w:val="24"/>
        </w:rPr>
        <w:t>书面</w:t>
      </w:r>
      <w:r>
        <w:rPr>
          <w:rFonts w:ascii="宋体" w:hAnsi="宋体" w:eastAsia="宋体" w:cs="宋体"/>
          <w:kern w:val="2"/>
          <w:sz w:val="24"/>
          <w:szCs w:val="24"/>
        </w:rPr>
        <w:t>确定是否继续履行合同。</w:t>
      </w:r>
    </w:p>
    <w:p>
      <w:pPr>
        <w:widowControl w:val="0"/>
        <w:spacing w:before="120" w:after="120" w:line="400" w:lineRule="exact"/>
        <w:ind w:firstLine="482" w:firstLineChars="200"/>
        <w:jc w:val="both"/>
        <w:rPr>
          <w:rFonts w:ascii="宋体" w:hAnsi="宋体" w:eastAsia="宋体" w:cs="宋体"/>
          <w:kern w:val="2"/>
          <w:sz w:val="24"/>
          <w:szCs w:val="24"/>
        </w:rPr>
      </w:pPr>
      <w:r>
        <w:rPr>
          <w:rFonts w:hint="eastAsia" w:ascii="宋体" w:hAnsi="宋体" w:eastAsia="宋体" w:cs="宋体"/>
          <w:b/>
          <w:kern w:val="2"/>
          <w:sz w:val="24"/>
          <w:szCs w:val="24"/>
        </w:rPr>
        <w:t>第十二条</w:t>
      </w:r>
      <w:r>
        <w:rPr>
          <w:rFonts w:ascii="宋体" w:hAnsi="宋体" w:eastAsia="宋体" w:cs="宋体"/>
          <w:kern w:val="2"/>
          <w:sz w:val="24"/>
          <w:szCs w:val="24"/>
        </w:rPr>
        <w:t>诉讼</w:t>
      </w:r>
      <w:r>
        <w:rPr>
          <w:rFonts w:hint="eastAsia" w:ascii="宋体" w:hAnsi="宋体" w:eastAsia="宋体" w:cs="宋体"/>
          <w:kern w:val="2"/>
          <w:sz w:val="24"/>
          <w:szCs w:val="24"/>
        </w:rPr>
        <w:t>条款</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双方在执行合同中所发生的一切争议，应通过协商解决。如协商不成，向</w:t>
      </w:r>
      <w:r>
        <w:rPr>
          <w:rFonts w:hint="eastAsia" w:ascii="宋体" w:hAnsi="宋体" w:eastAsia="宋体" w:cs="宋体"/>
          <w:kern w:val="2"/>
          <w:sz w:val="24"/>
          <w:szCs w:val="24"/>
        </w:rPr>
        <w:t>甲方所在地的人民法院提起诉讼。</w:t>
      </w:r>
    </w:p>
    <w:p>
      <w:pPr>
        <w:widowControl w:val="0"/>
        <w:spacing w:before="120" w:after="120" w:line="400" w:lineRule="exact"/>
        <w:ind w:firstLine="482" w:firstLineChars="200"/>
        <w:jc w:val="both"/>
        <w:rPr>
          <w:rFonts w:ascii="宋体" w:hAnsi="宋体" w:eastAsia="宋体" w:cs="宋体"/>
          <w:b/>
          <w:kern w:val="2"/>
          <w:sz w:val="24"/>
          <w:szCs w:val="24"/>
        </w:rPr>
      </w:pPr>
      <w:r>
        <w:rPr>
          <w:rFonts w:hint="eastAsia" w:ascii="宋体" w:hAnsi="宋体" w:eastAsia="宋体" w:cs="宋体"/>
          <w:b/>
          <w:kern w:val="2"/>
          <w:sz w:val="24"/>
          <w:szCs w:val="24"/>
        </w:rPr>
        <w:t>第十三条</w:t>
      </w:r>
      <w:r>
        <w:rPr>
          <w:rFonts w:ascii="宋体" w:hAnsi="宋体" w:eastAsia="宋体" w:cs="宋体"/>
          <w:kern w:val="2"/>
          <w:sz w:val="24"/>
          <w:szCs w:val="24"/>
        </w:rPr>
        <w:t>合同生效及其它</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1.招投标文件作为合同的附件，与本合同具有同等法律效力。合同经双方法定代表人或授权委托代</w:t>
      </w:r>
      <w:r>
        <w:rPr>
          <w:rFonts w:hint="eastAsia" w:ascii="宋体" w:hAnsi="宋体" w:eastAsia="宋体" w:cs="宋体"/>
          <w:kern w:val="2"/>
          <w:sz w:val="24"/>
          <w:szCs w:val="24"/>
        </w:rPr>
        <w:t>表</w:t>
      </w:r>
      <w:r>
        <w:rPr>
          <w:rFonts w:ascii="宋体" w:hAnsi="宋体" w:eastAsia="宋体" w:cs="宋体"/>
          <w:kern w:val="2"/>
          <w:sz w:val="24"/>
          <w:szCs w:val="24"/>
        </w:rPr>
        <w:t>人签字</w:t>
      </w:r>
      <w:r>
        <w:rPr>
          <w:rFonts w:hint="eastAsia" w:ascii="宋体" w:hAnsi="宋体" w:eastAsia="宋体" w:cs="宋体"/>
          <w:kern w:val="2"/>
          <w:sz w:val="24"/>
          <w:szCs w:val="24"/>
        </w:rPr>
        <w:t>、盖章</w:t>
      </w:r>
      <w:r>
        <w:rPr>
          <w:rFonts w:ascii="宋体" w:hAnsi="宋体" w:eastAsia="宋体" w:cs="宋体"/>
          <w:kern w:val="2"/>
          <w:sz w:val="24"/>
          <w:szCs w:val="24"/>
        </w:rPr>
        <w:t>后生效。</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2.本合同未尽事宜，遵照《</w:t>
      </w:r>
      <w:r>
        <w:rPr>
          <w:rFonts w:hint="eastAsia" w:ascii="宋体" w:hAnsi="宋体" w:eastAsia="宋体" w:cs="宋体"/>
          <w:kern w:val="2"/>
          <w:sz w:val="24"/>
          <w:szCs w:val="24"/>
        </w:rPr>
        <w:t>中华人民共和国民法典</w:t>
      </w:r>
      <w:r>
        <w:rPr>
          <w:rFonts w:ascii="宋体" w:hAnsi="宋体" w:eastAsia="宋体" w:cs="宋体"/>
          <w:kern w:val="2"/>
          <w:sz w:val="24"/>
          <w:szCs w:val="24"/>
        </w:rPr>
        <w:t>》有关条文执行。</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3.本合同正本一式</w:t>
      </w:r>
      <w:r>
        <w:rPr>
          <w:rFonts w:hint="eastAsia" w:ascii="宋体" w:hAnsi="宋体" w:eastAsia="宋体" w:cs="宋体"/>
          <w:kern w:val="2"/>
          <w:sz w:val="24"/>
          <w:szCs w:val="24"/>
        </w:rPr>
        <w:t>陆</w:t>
      </w:r>
      <w:r>
        <w:rPr>
          <w:rFonts w:ascii="宋体" w:hAnsi="宋体" w:eastAsia="宋体" w:cs="宋体"/>
          <w:kern w:val="2"/>
          <w:sz w:val="24"/>
          <w:szCs w:val="24"/>
        </w:rPr>
        <w:t>份，</w:t>
      </w:r>
      <w:r>
        <w:rPr>
          <w:rFonts w:hint="eastAsia" w:ascii="宋体" w:hAnsi="宋体" w:eastAsia="宋体" w:cs="宋体"/>
          <w:kern w:val="2"/>
          <w:sz w:val="24"/>
          <w:szCs w:val="24"/>
        </w:rPr>
        <w:t>甲方伍份，乙方壹份，</w:t>
      </w:r>
      <w:r>
        <w:rPr>
          <w:rFonts w:ascii="宋体" w:hAnsi="宋体" w:eastAsia="宋体" w:cs="宋体"/>
          <w:kern w:val="2"/>
          <w:sz w:val="24"/>
          <w:szCs w:val="24"/>
        </w:rPr>
        <w:t>具有同等法律效力。</w:t>
      </w:r>
    </w:p>
    <w:p>
      <w:pPr>
        <w:widowControl w:val="0"/>
        <w:spacing w:before="120" w:after="120" w:line="400" w:lineRule="exact"/>
        <w:ind w:firstLine="480" w:firstLineChars="200"/>
        <w:jc w:val="both"/>
        <w:rPr>
          <w:rFonts w:ascii="宋体" w:hAnsi="宋体" w:eastAsia="宋体" w:cs="宋体"/>
          <w:kern w:val="2"/>
          <w:sz w:val="24"/>
          <w:szCs w:val="24"/>
        </w:rPr>
      </w:pP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ascii="宋体" w:hAnsi="宋体" w:eastAsia="宋体" w:cs="宋体"/>
          <w:kern w:val="2"/>
          <w:sz w:val="24"/>
          <w:szCs w:val="24"/>
        </w:rPr>
        <w:t>甲方：</w:t>
      </w:r>
      <w:r>
        <w:rPr>
          <w:rFonts w:hint="eastAsia" w:ascii="宋体" w:hAnsi="宋体" w:eastAsia="宋体" w:cs="宋体"/>
          <w:kern w:val="2"/>
          <w:sz w:val="24"/>
          <w:szCs w:val="24"/>
        </w:rPr>
        <w:t>南京医科大学</w:t>
      </w:r>
      <w:r>
        <w:rPr>
          <w:rFonts w:ascii="宋体" w:hAnsi="宋体" w:eastAsia="宋体" w:cs="宋体"/>
          <w:kern w:val="2"/>
          <w:sz w:val="24"/>
          <w:szCs w:val="24"/>
        </w:rPr>
        <w:t>乙方：</w:t>
      </w:r>
    </w:p>
    <w:p>
      <w:pPr>
        <w:widowControl w:val="0"/>
        <w:spacing w:before="120" w:after="120" w:line="400" w:lineRule="exact"/>
        <w:ind w:firstLine="480" w:firstLineChars="200"/>
        <w:jc w:val="both"/>
        <w:rPr>
          <w:rFonts w:hint="eastAsia" w:ascii="宋体" w:hAnsi="宋体" w:eastAsia="宋体" w:cs="宋体"/>
          <w:kern w:val="2"/>
          <w:sz w:val="24"/>
          <w:szCs w:val="24"/>
          <w:lang w:eastAsia="zh-CN"/>
        </w:rPr>
      </w:pPr>
      <w:r>
        <w:rPr>
          <w:rFonts w:ascii="宋体" w:hAnsi="宋体" w:eastAsia="宋体" w:cs="宋体"/>
          <w:kern w:val="2"/>
          <w:sz w:val="24"/>
          <w:szCs w:val="24"/>
        </w:rPr>
        <w:t>地址：地址：</w:t>
      </w:r>
    </w:p>
    <w:p>
      <w:pPr>
        <w:widowControl w:val="0"/>
        <w:spacing w:before="120" w:after="120" w:line="400" w:lineRule="exact"/>
        <w:ind w:firstLine="480" w:firstLineChars="200"/>
        <w:jc w:val="both"/>
        <w:rPr>
          <w:rFonts w:ascii="宋体" w:hAnsi="宋体" w:eastAsia="宋体" w:cs="宋体"/>
          <w:kern w:val="2"/>
          <w:sz w:val="24"/>
          <w:szCs w:val="24"/>
        </w:rPr>
      </w:pPr>
      <w:r>
        <w:rPr>
          <w:rFonts w:ascii="宋体" w:hAnsi="宋体" w:eastAsia="宋体" w:cs="宋体"/>
          <w:kern w:val="2"/>
          <w:sz w:val="24"/>
          <w:szCs w:val="24"/>
        </w:rPr>
        <w:t>法定代表人</w:t>
      </w:r>
      <w:r>
        <w:rPr>
          <w:rFonts w:hint="eastAsia" w:ascii="宋体" w:hAnsi="宋体" w:eastAsia="宋体" w:cs="宋体"/>
          <w:kern w:val="2"/>
          <w:sz w:val="24"/>
          <w:szCs w:val="24"/>
        </w:rPr>
        <w:t>或授权代表</w:t>
      </w:r>
      <w:r>
        <w:rPr>
          <w:rFonts w:ascii="宋体" w:hAnsi="宋体" w:eastAsia="宋体" w:cs="宋体"/>
          <w:kern w:val="2"/>
          <w:sz w:val="24"/>
          <w:szCs w:val="24"/>
        </w:rPr>
        <w:t>：法定代表人</w:t>
      </w:r>
      <w:r>
        <w:rPr>
          <w:rFonts w:hint="eastAsia" w:ascii="宋体" w:hAnsi="宋体" w:eastAsia="宋体" w:cs="宋体"/>
          <w:kern w:val="2"/>
          <w:sz w:val="24"/>
          <w:szCs w:val="24"/>
        </w:rPr>
        <w:t>或授权代表</w:t>
      </w:r>
      <w:r>
        <w:rPr>
          <w:rFonts w:ascii="宋体" w:hAnsi="宋体" w:eastAsia="宋体" w:cs="宋体"/>
          <w:kern w:val="2"/>
          <w:sz w:val="24"/>
          <w:szCs w:val="24"/>
        </w:rPr>
        <w:t>：</w:t>
      </w:r>
    </w:p>
    <w:p>
      <w:pPr>
        <w:widowControl w:val="0"/>
        <w:adjustRightInd/>
        <w:snapToGrid/>
        <w:spacing w:after="0" w:line="400" w:lineRule="exact"/>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rPr>
        <w:t>联系电话：联系电话：</w:t>
      </w:r>
    </w:p>
    <w:p>
      <w:pPr>
        <w:widowControl w:val="0"/>
        <w:ind w:left="1260"/>
        <w:jc w:val="both"/>
        <w:rPr>
          <w:rFonts w:ascii="Calibri" w:hAnsi="Calibri" w:eastAsia="宋体" w:cs="Times New Roman"/>
          <w:kern w:val="2"/>
          <w:sz w:val="21"/>
        </w:rPr>
      </w:pPr>
    </w:p>
    <w:p>
      <w:pPr>
        <w:pStyle w:val="2"/>
        <w:ind w:firstLine="0" w:firstLineChars="0"/>
      </w:pPr>
    </w:p>
    <w:p>
      <w:pPr>
        <w:pStyle w:val="31"/>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Fonts w:ascii="宋体" w:hAnsi="宋体"/>
      </w:rPr>
    </w:pPr>
    <w:r>
      <w:rPr>
        <w:rFonts w:ascii="宋体" w:hAnsi="宋体"/>
      </w:rPr>
      <w:fldChar w:fldCharType="begin"/>
    </w:r>
    <w:r>
      <w:rPr>
        <w:rStyle w:val="24"/>
        <w:rFonts w:ascii="宋体" w:hAnsi="宋体"/>
      </w:rPr>
      <w:instrText xml:space="preserve">PAGE  </w:instrText>
    </w:r>
    <w:r>
      <w:rPr>
        <w:rFonts w:ascii="宋体" w:hAnsi="宋体"/>
      </w:rPr>
      <w:fldChar w:fldCharType="separate"/>
    </w:r>
    <w:r>
      <w:rPr>
        <w:rStyle w:val="24"/>
        <w:rFonts w:ascii="宋体" w:hAnsi="宋体"/>
      </w:rPr>
      <w:t>4</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36"/>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E95D0F"/>
    <w:multiLevelType w:val="singleLevel"/>
    <w:tmpl w:val="77E95D0F"/>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56389"/>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2E6786"/>
    <w:rsid w:val="00300F88"/>
    <w:rsid w:val="00323B43"/>
    <w:rsid w:val="00327947"/>
    <w:rsid w:val="00347E27"/>
    <w:rsid w:val="0036460C"/>
    <w:rsid w:val="00380B99"/>
    <w:rsid w:val="0038270D"/>
    <w:rsid w:val="00392BFF"/>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76B53"/>
    <w:rsid w:val="004808C6"/>
    <w:rsid w:val="004A4F2D"/>
    <w:rsid w:val="004E3402"/>
    <w:rsid w:val="004F5C9E"/>
    <w:rsid w:val="005059E0"/>
    <w:rsid w:val="005129DB"/>
    <w:rsid w:val="00542987"/>
    <w:rsid w:val="00547A9B"/>
    <w:rsid w:val="00582977"/>
    <w:rsid w:val="005866DD"/>
    <w:rsid w:val="00590D7C"/>
    <w:rsid w:val="005A5F50"/>
    <w:rsid w:val="005B00B9"/>
    <w:rsid w:val="005B44B4"/>
    <w:rsid w:val="0060453F"/>
    <w:rsid w:val="006045FD"/>
    <w:rsid w:val="006411FE"/>
    <w:rsid w:val="00657B2C"/>
    <w:rsid w:val="00663D89"/>
    <w:rsid w:val="00681F07"/>
    <w:rsid w:val="006949DD"/>
    <w:rsid w:val="006A096A"/>
    <w:rsid w:val="006A112C"/>
    <w:rsid w:val="006C6B1D"/>
    <w:rsid w:val="006E7A28"/>
    <w:rsid w:val="00710E53"/>
    <w:rsid w:val="0071106B"/>
    <w:rsid w:val="007178CD"/>
    <w:rsid w:val="00725153"/>
    <w:rsid w:val="00747556"/>
    <w:rsid w:val="007736D0"/>
    <w:rsid w:val="00792482"/>
    <w:rsid w:val="0079316D"/>
    <w:rsid w:val="007947E9"/>
    <w:rsid w:val="007A58F8"/>
    <w:rsid w:val="007A6257"/>
    <w:rsid w:val="007F18E6"/>
    <w:rsid w:val="007F226B"/>
    <w:rsid w:val="008017D0"/>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07E24"/>
    <w:rsid w:val="00A478D2"/>
    <w:rsid w:val="00A67624"/>
    <w:rsid w:val="00A719C8"/>
    <w:rsid w:val="00A754E0"/>
    <w:rsid w:val="00AA278C"/>
    <w:rsid w:val="00AB3CFF"/>
    <w:rsid w:val="00AC2325"/>
    <w:rsid w:val="00AC3CE4"/>
    <w:rsid w:val="00AD34AE"/>
    <w:rsid w:val="00AD713B"/>
    <w:rsid w:val="00AE6332"/>
    <w:rsid w:val="00AF0E8F"/>
    <w:rsid w:val="00AF3E4D"/>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42C5A"/>
    <w:rsid w:val="00C541CB"/>
    <w:rsid w:val="00C55166"/>
    <w:rsid w:val="00C64AAC"/>
    <w:rsid w:val="00C67866"/>
    <w:rsid w:val="00C76558"/>
    <w:rsid w:val="00C86FD4"/>
    <w:rsid w:val="00D278D7"/>
    <w:rsid w:val="00D31D50"/>
    <w:rsid w:val="00D53633"/>
    <w:rsid w:val="00D55D24"/>
    <w:rsid w:val="00D56CB6"/>
    <w:rsid w:val="00D61AE7"/>
    <w:rsid w:val="00D634CC"/>
    <w:rsid w:val="00D9005C"/>
    <w:rsid w:val="00DA1746"/>
    <w:rsid w:val="00DA4334"/>
    <w:rsid w:val="00DB160F"/>
    <w:rsid w:val="00DB5FD8"/>
    <w:rsid w:val="00DD78D1"/>
    <w:rsid w:val="00DE05FA"/>
    <w:rsid w:val="00DE421A"/>
    <w:rsid w:val="00DF04C0"/>
    <w:rsid w:val="00DF12D7"/>
    <w:rsid w:val="00E011DE"/>
    <w:rsid w:val="00E14FB9"/>
    <w:rsid w:val="00E31BD3"/>
    <w:rsid w:val="00E34600"/>
    <w:rsid w:val="00E47646"/>
    <w:rsid w:val="00E52BFB"/>
    <w:rsid w:val="00E7796D"/>
    <w:rsid w:val="00E81B75"/>
    <w:rsid w:val="00EB187E"/>
    <w:rsid w:val="00F04061"/>
    <w:rsid w:val="00F14151"/>
    <w:rsid w:val="00F30A36"/>
    <w:rsid w:val="00F4455E"/>
    <w:rsid w:val="00F468BA"/>
    <w:rsid w:val="00F50528"/>
    <w:rsid w:val="00F5231B"/>
    <w:rsid w:val="00F94053"/>
    <w:rsid w:val="00FA4F5F"/>
    <w:rsid w:val="00FA5921"/>
    <w:rsid w:val="00FB608D"/>
    <w:rsid w:val="00FD4A32"/>
    <w:rsid w:val="00FF44F0"/>
    <w:rsid w:val="00FF7A26"/>
    <w:rsid w:val="013F017A"/>
    <w:rsid w:val="08137017"/>
    <w:rsid w:val="105657F3"/>
    <w:rsid w:val="11660B07"/>
    <w:rsid w:val="19A316D0"/>
    <w:rsid w:val="1A0E5AF5"/>
    <w:rsid w:val="1A2A5370"/>
    <w:rsid w:val="1BAB7E2F"/>
    <w:rsid w:val="1C440511"/>
    <w:rsid w:val="1C980DFA"/>
    <w:rsid w:val="1FD45B0E"/>
    <w:rsid w:val="21A954A2"/>
    <w:rsid w:val="23457BEE"/>
    <w:rsid w:val="26396471"/>
    <w:rsid w:val="2A426494"/>
    <w:rsid w:val="2B3D38EA"/>
    <w:rsid w:val="2B9D125A"/>
    <w:rsid w:val="2D776D82"/>
    <w:rsid w:val="30CA3C63"/>
    <w:rsid w:val="350710F1"/>
    <w:rsid w:val="371669D8"/>
    <w:rsid w:val="37E057C0"/>
    <w:rsid w:val="3BF426EE"/>
    <w:rsid w:val="3EB20F1F"/>
    <w:rsid w:val="46736E17"/>
    <w:rsid w:val="4CCB7C2E"/>
    <w:rsid w:val="50ED7958"/>
    <w:rsid w:val="52785198"/>
    <w:rsid w:val="57194839"/>
    <w:rsid w:val="58E36743"/>
    <w:rsid w:val="693C064E"/>
    <w:rsid w:val="69B71F24"/>
    <w:rsid w:val="6B317E06"/>
    <w:rsid w:val="6CDA414F"/>
    <w:rsid w:val="6DF36786"/>
    <w:rsid w:val="70F16A74"/>
    <w:rsid w:val="712E0729"/>
    <w:rsid w:val="72F72576"/>
    <w:rsid w:val="73245490"/>
    <w:rsid w:val="74AB629B"/>
    <w:rsid w:val="75FB5669"/>
    <w:rsid w:val="762D3933"/>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29"/>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6">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2"/>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9">
    <w:name w:val="heading 4"/>
    <w:basedOn w:val="1"/>
    <w:next w:val="1"/>
    <w:link w:val="33"/>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3">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widowControl w:val="0"/>
      <w:ind w:firstLine="420" w:firstLineChars="200"/>
      <w:jc w:val="both"/>
    </w:pPr>
    <w:rPr>
      <w:rFonts w:ascii="Calibri" w:hAnsi="Calibri" w:cs="Calibri"/>
      <w:kern w:val="2"/>
      <w:sz w:val="21"/>
    </w:rPr>
  </w:style>
  <w:style w:type="paragraph" w:styleId="3">
    <w:name w:val="Body Text Indent"/>
    <w:basedOn w:val="1"/>
    <w:next w:val="4"/>
    <w:qFormat/>
    <w:uiPriority w:val="0"/>
    <w:pPr>
      <w:spacing w:line="440" w:lineRule="exact"/>
      <w:ind w:firstLine="403" w:firstLineChars="192"/>
    </w:pPr>
    <w:rPr>
      <w:rFonts w:ascii="宋体" w:hAnsi="宋体" w:eastAsia="宋体" w:cs="宋体"/>
      <w:szCs w:val="21"/>
    </w:rPr>
  </w:style>
  <w:style w:type="paragraph" w:styleId="4">
    <w:name w:val="envelope return"/>
    <w:basedOn w:val="1"/>
    <w:qFormat/>
    <w:uiPriority w:val="0"/>
    <w:rPr>
      <w:rFonts w:ascii="Arial" w:hAnsi="Arial"/>
    </w:rPr>
  </w:style>
  <w:style w:type="paragraph" w:styleId="8">
    <w:name w:val="Normal Indent"/>
    <w:basedOn w:val="1"/>
    <w:link w:val="38"/>
    <w:qFormat/>
    <w:uiPriority w:val="0"/>
    <w:pPr>
      <w:widowControl w:val="0"/>
      <w:adjustRightInd/>
      <w:snapToGrid/>
      <w:spacing w:after="0"/>
      <w:ind w:firstLine="420"/>
      <w:jc w:val="both"/>
    </w:pPr>
    <w:rPr>
      <w:rFonts w:asciiTheme="minorHAnsi" w:hAnsiTheme="minorHAnsi"/>
      <w:kern w:val="2"/>
      <w:sz w:val="21"/>
      <w:szCs w:val="21"/>
    </w:rPr>
  </w:style>
  <w:style w:type="paragraph" w:styleId="10">
    <w:name w:val="annotation text"/>
    <w:basedOn w:val="1"/>
    <w:link w:val="51"/>
    <w:semiHidden/>
    <w:unhideWhenUsed/>
    <w:qFormat/>
    <w:uiPriority w:val="99"/>
  </w:style>
  <w:style w:type="paragraph" w:styleId="11">
    <w:name w:val="Body Text"/>
    <w:basedOn w:val="1"/>
    <w:link w:val="48"/>
    <w:qFormat/>
    <w:uiPriority w:val="0"/>
    <w:pPr>
      <w:widowControl w:val="0"/>
      <w:adjustRightInd/>
      <w:snapToGrid/>
      <w:spacing w:after="0"/>
      <w:jc w:val="both"/>
    </w:pPr>
    <w:rPr>
      <w:rFonts w:ascii="楷体_GB2312" w:hAnsi="Arial" w:eastAsia="楷体_GB2312"/>
      <w:kern w:val="2"/>
      <w:sz w:val="28"/>
      <w:szCs w:val="28"/>
    </w:rPr>
  </w:style>
  <w:style w:type="paragraph" w:styleId="12">
    <w:name w:val="Block Text"/>
    <w:basedOn w:val="1"/>
    <w:semiHidden/>
    <w:unhideWhenUsed/>
    <w:qFormat/>
    <w:uiPriority w:val="99"/>
    <w:rPr>
      <w:rFonts w:ascii="Times New Roman" w:hAnsi="Times New Roman"/>
    </w:rPr>
  </w:style>
  <w:style w:type="paragraph" w:styleId="13">
    <w:name w:val="index 4"/>
    <w:basedOn w:val="1"/>
    <w:next w:val="1"/>
    <w:qFormat/>
    <w:uiPriority w:val="99"/>
    <w:pPr>
      <w:ind w:left="600" w:leftChars="600"/>
    </w:pPr>
    <w:rPr>
      <w:rFonts w:cs="Times New Roman"/>
    </w:rPr>
  </w:style>
  <w:style w:type="paragraph" w:styleId="14">
    <w:name w:val="Plain Text"/>
    <w:basedOn w:val="1"/>
    <w:link w:val="42"/>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49"/>
    <w:semiHidden/>
    <w:unhideWhenUsed/>
    <w:qFormat/>
    <w:uiPriority w:val="99"/>
    <w:pPr>
      <w:spacing w:after="0"/>
    </w:pPr>
    <w:rPr>
      <w:sz w:val="18"/>
      <w:szCs w:val="18"/>
    </w:rPr>
  </w:style>
  <w:style w:type="paragraph" w:styleId="16">
    <w:name w:val="footer"/>
    <w:basedOn w:val="1"/>
    <w:link w:val="28"/>
    <w:unhideWhenUsed/>
    <w:qFormat/>
    <w:uiPriority w:val="99"/>
    <w:pPr>
      <w:tabs>
        <w:tab w:val="center" w:pos="4153"/>
        <w:tab w:val="right" w:pos="8306"/>
      </w:tabs>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Normal (Web)"/>
    <w:basedOn w:val="1"/>
    <w:semiHidden/>
    <w:unhideWhenUsed/>
    <w:qFormat/>
    <w:uiPriority w:val="99"/>
    <w:rPr>
      <w:sz w:val="24"/>
    </w:rPr>
  </w:style>
  <w:style w:type="paragraph" w:styleId="20">
    <w:name w:val="Title"/>
    <w:basedOn w:val="1"/>
    <w:next w:val="1"/>
    <w:link w:val="39"/>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10"/>
    <w:next w:val="10"/>
    <w:link w:val="52"/>
    <w:semiHidden/>
    <w:unhideWhenUsed/>
    <w:qFormat/>
    <w:uiPriority w:val="99"/>
    <w:rPr>
      <w:b/>
      <w:bCs/>
    </w:r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semiHidden/>
    <w:unhideWhenUsed/>
    <w:qFormat/>
    <w:uiPriority w:val="99"/>
    <w:rPr>
      <w:sz w:val="21"/>
      <w:szCs w:val="21"/>
    </w:rPr>
  </w:style>
  <w:style w:type="character" w:customStyle="1" w:styleId="27">
    <w:name w:val="页眉 Char"/>
    <w:basedOn w:val="23"/>
    <w:link w:val="17"/>
    <w:qFormat/>
    <w:uiPriority w:val="99"/>
    <w:rPr>
      <w:rFonts w:ascii="Tahoma" w:hAnsi="Tahoma"/>
      <w:sz w:val="18"/>
      <w:szCs w:val="18"/>
    </w:rPr>
  </w:style>
  <w:style w:type="character" w:customStyle="1" w:styleId="28">
    <w:name w:val="页脚 Char"/>
    <w:basedOn w:val="23"/>
    <w:link w:val="16"/>
    <w:qFormat/>
    <w:uiPriority w:val="99"/>
    <w:rPr>
      <w:rFonts w:ascii="Tahoma" w:hAnsi="Tahoma"/>
      <w:sz w:val="18"/>
      <w:szCs w:val="18"/>
    </w:rPr>
  </w:style>
  <w:style w:type="character" w:customStyle="1" w:styleId="29">
    <w:name w:val="标题 1 Char"/>
    <w:basedOn w:val="23"/>
    <w:link w:val="5"/>
    <w:qFormat/>
    <w:uiPriority w:val="9"/>
    <w:rPr>
      <w:rFonts w:ascii="楷体_GB2312" w:hAnsi="Times New Roman" w:eastAsia="楷体_GB2312" w:cs="Times New Roman"/>
      <w:kern w:val="2"/>
      <w:sz w:val="28"/>
      <w:szCs w:val="28"/>
    </w:rPr>
  </w:style>
  <w:style w:type="paragraph" w:customStyle="1" w:styleId="30">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1">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2">
    <w:name w:val="标题 3 Char"/>
    <w:basedOn w:val="23"/>
    <w:link w:val="7"/>
    <w:qFormat/>
    <w:uiPriority w:val="0"/>
    <w:rPr>
      <w:rFonts w:ascii="Times New Roman" w:hAnsi="Times New Roman" w:eastAsia="宋体" w:cs="Times New Roman"/>
      <w:b/>
      <w:bCs/>
      <w:kern w:val="2"/>
      <w:sz w:val="32"/>
      <w:szCs w:val="32"/>
    </w:rPr>
  </w:style>
  <w:style w:type="character" w:customStyle="1" w:styleId="33">
    <w:name w:val="标题 4 Char"/>
    <w:basedOn w:val="23"/>
    <w:link w:val="9"/>
    <w:qFormat/>
    <w:uiPriority w:val="9"/>
    <w:rPr>
      <w:rFonts w:ascii="Arial" w:hAnsi="Arial" w:eastAsia="黑体" w:cs="Arial"/>
      <w:b/>
      <w:bCs/>
      <w:kern w:val="2"/>
      <w:sz w:val="28"/>
      <w:szCs w:val="28"/>
    </w:rPr>
  </w:style>
  <w:style w:type="character" w:customStyle="1" w:styleId="34">
    <w:name w:val="标题 Char1"/>
    <w:basedOn w:val="23"/>
    <w:qFormat/>
    <w:uiPriority w:val="0"/>
    <w:rPr>
      <w:rFonts w:ascii="Cambria" w:hAnsi="Cambria"/>
      <w:b/>
      <w:bCs/>
      <w:kern w:val="2"/>
      <w:sz w:val="32"/>
      <w:szCs w:val="32"/>
    </w:rPr>
  </w:style>
  <w:style w:type="character" w:customStyle="1" w:styleId="35">
    <w:name w:val="标题二 Char"/>
    <w:link w:val="36"/>
    <w:qFormat/>
    <w:uiPriority w:val="0"/>
    <w:rPr>
      <w:rFonts w:ascii="宋体" w:hAnsi="宋体" w:cs="Calibri"/>
      <w:b/>
      <w:color w:val="000000"/>
      <w:kern w:val="1"/>
      <w:sz w:val="28"/>
      <w:szCs w:val="28"/>
    </w:rPr>
  </w:style>
  <w:style w:type="paragraph" w:customStyle="1" w:styleId="36">
    <w:name w:val="标题二"/>
    <w:basedOn w:val="37"/>
    <w:link w:val="35"/>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7">
    <w:name w:val="List Paragraph"/>
    <w:basedOn w:val="1"/>
    <w:qFormat/>
    <w:uiPriority w:val="34"/>
    <w:pPr>
      <w:ind w:firstLine="420" w:firstLineChars="200"/>
    </w:pPr>
  </w:style>
  <w:style w:type="character" w:customStyle="1" w:styleId="38">
    <w:name w:val="正文缩进 Char"/>
    <w:link w:val="8"/>
    <w:qFormat/>
    <w:uiPriority w:val="0"/>
    <w:rPr>
      <w:kern w:val="2"/>
      <w:sz w:val="21"/>
      <w:szCs w:val="21"/>
    </w:rPr>
  </w:style>
  <w:style w:type="character" w:customStyle="1" w:styleId="39">
    <w:name w:val="标题 Char"/>
    <w:basedOn w:val="23"/>
    <w:link w:val="20"/>
    <w:qFormat/>
    <w:uiPriority w:val="10"/>
    <w:rPr>
      <w:rFonts w:eastAsia="宋体" w:asciiTheme="majorHAnsi" w:hAnsiTheme="majorHAnsi" w:cstheme="majorBidi"/>
      <w:b/>
      <w:bCs/>
      <w:sz w:val="32"/>
      <w:szCs w:val="32"/>
    </w:rPr>
  </w:style>
  <w:style w:type="character" w:customStyle="1" w:styleId="40">
    <w:name w:val="font1"/>
    <w:qFormat/>
    <w:uiPriority w:val="0"/>
    <w:rPr>
      <w:color w:val="333333"/>
      <w:spacing w:val="450"/>
      <w:sz w:val="18"/>
      <w:szCs w:val="18"/>
      <w:u w:val="none"/>
    </w:rPr>
  </w:style>
  <w:style w:type="character" w:customStyle="1" w:styleId="41">
    <w:name w:val="纯文本 Char"/>
    <w:qFormat/>
    <w:uiPriority w:val="0"/>
    <w:rPr>
      <w:rFonts w:ascii="宋体" w:hAnsi="Courier New" w:cs="Courier New"/>
      <w:kern w:val="2"/>
      <w:sz w:val="21"/>
      <w:szCs w:val="21"/>
    </w:rPr>
  </w:style>
  <w:style w:type="character" w:customStyle="1" w:styleId="42">
    <w:name w:val="纯文本 Char1"/>
    <w:basedOn w:val="23"/>
    <w:link w:val="14"/>
    <w:semiHidden/>
    <w:qFormat/>
    <w:uiPriority w:val="99"/>
    <w:rPr>
      <w:rFonts w:ascii="宋体" w:hAnsi="Courier New" w:eastAsia="宋体" w:cs="Courier New"/>
      <w:sz w:val="21"/>
      <w:szCs w:val="21"/>
    </w:rPr>
  </w:style>
  <w:style w:type="character" w:customStyle="1" w:styleId="43">
    <w:name w:val="标题 2 Char"/>
    <w:basedOn w:val="23"/>
    <w:link w:val="6"/>
    <w:semiHidden/>
    <w:qFormat/>
    <w:uiPriority w:val="9"/>
    <w:rPr>
      <w:rFonts w:asciiTheme="majorHAnsi" w:hAnsiTheme="majorHAnsi" w:eastAsiaTheme="majorEastAsia" w:cstheme="majorBidi"/>
      <w:b/>
      <w:bCs/>
      <w:sz w:val="32"/>
      <w:szCs w:val="32"/>
    </w:rPr>
  </w:style>
  <w:style w:type="character" w:customStyle="1" w:styleId="44">
    <w:name w:val="正文文本 Char"/>
    <w:qFormat/>
    <w:uiPriority w:val="0"/>
    <w:rPr>
      <w:rFonts w:ascii="楷体_GB2312" w:hAnsi="Arial" w:eastAsia="楷体_GB2312"/>
      <w:kern w:val="2"/>
      <w:sz w:val="28"/>
      <w:szCs w:val="28"/>
    </w:rPr>
  </w:style>
  <w:style w:type="character" w:customStyle="1" w:styleId="45">
    <w:name w:val="列出段落 Char"/>
    <w:link w:val="46"/>
    <w:qFormat/>
    <w:locked/>
    <w:uiPriority w:val="34"/>
    <w:rPr>
      <w:rFonts w:ascii="Calibri" w:hAnsi="Calibri"/>
      <w:sz w:val="24"/>
      <w:szCs w:val="24"/>
      <w:lang w:eastAsia="en-US" w:bidi="en-US"/>
    </w:rPr>
  </w:style>
  <w:style w:type="paragraph" w:customStyle="1" w:styleId="46">
    <w:name w:val="列出段落11"/>
    <w:basedOn w:val="1"/>
    <w:link w:val="45"/>
    <w:qFormat/>
    <w:uiPriority w:val="34"/>
    <w:pPr>
      <w:adjustRightInd/>
      <w:snapToGrid/>
      <w:spacing w:after="0"/>
      <w:ind w:left="720"/>
      <w:contextualSpacing/>
    </w:pPr>
    <w:rPr>
      <w:rFonts w:ascii="Calibri" w:hAnsi="Calibri"/>
      <w:sz w:val="24"/>
      <w:szCs w:val="24"/>
      <w:lang w:eastAsia="en-US" w:bidi="en-US"/>
    </w:rPr>
  </w:style>
  <w:style w:type="paragraph" w:customStyle="1" w:styleId="47">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8">
    <w:name w:val="正文文本 Char1"/>
    <w:basedOn w:val="23"/>
    <w:link w:val="11"/>
    <w:semiHidden/>
    <w:qFormat/>
    <w:uiPriority w:val="99"/>
    <w:rPr>
      <w:rFonts w:ascii="Tahoma" w:hAnsi="Tahoma"/>
    </w:rPr>
  </w:style>
  <w:style w:type="character" w:customStyle="1" w:styleId="49">
    <w:name w:val="批注框文本 Char"/>
    <w:basedOn w:val="23"/>
    <w:link w:val="15"/>
    <w:semiHidden/>
    <w:qFormat/>
    <w:uiPriority w:val="99"/>
    <w:rPr>
      <w:rFonts w:ascii="Tahoma" w:hAnsi="Tahoma"/>
      <w:sz w:val="18"/>
      <w:szCs w:val="18"/>
    </w:rPr>
  </w:style>
  <w:style w:type="paragraph" w:customStyle="1" w:styleId="50">
    <w:name w:val="列表段落1"/>
    <w:basedOn w:val="1"/>
    <w:qFormat/>
    <w:uiPriority w:val="34"/>
    <w:pPr>
      <w:ind w:firstLine="420" w:firstLineChars="200"/>
    </w:pPr>
  </w:style>
  <w:style w:type="character" w:customStyle="1" w:styleId="51">
    <w:name w:val="批注文字 Char"/>
    <w:basedOn w:val="23"/>
    <w:link w:val="10"/>
    <w:semiHidden/>
    <w:qFormat/>
    <w:uiPriority w:val="99"/>
    <w:rPr>
      <w:rFonts w:ascii="Tahoma" w:hAnsi="Tahoma" w:eastAsia="微软雅黑" w:cstheme="minorBidi"/>
      <w:sz w:val="22"/>
      <w:szCs w:val="22"/>
    </w:rPr>
  </w:style>
  <w:style w:type="character" w:customStyle="1" w:styleId="52">
    <w:name w:val="批注主题 Char"/>
    <w:basedOn w:val="51"/>
    <w:link w:val="21"/>
    <w:semiHidden/>
    <w:qFormat/>
    <w:uiPriority w:val="99"/>
    <w:rPr>
      <w:rFonts w:ascii="Tahoma" w:hAnsi="Tahoma" w:eastAsia="微软雅黑" w:cstheme="minorBidi"/>
      <w:b/>
      <w:bCs/>
      <w:sz w:val="22"/>
      <w:szCs w:val="22"/>
    </w:rPr>
  </w:style>
  <w:style w:type="paragraph" w:customStyle="1" w:styleId="53">
    <w:name w:val="修订1"/>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0090278-2B58-4AFB-B7F6-2284DBB5DFA7}">
  <ds:schemaRefs/>
</ds:datastoreItem>
</file>

<file path=docProps/app.xml><?xml version="1.0" encoding="utf-8"?>
<Properties xmlns="http://schemas.openxmlformats.org/officeDocument/2006/extended-properties" xmlns:vt="http://schemas.openxmlformats.org/officeDocument/2006/docPropsVTypes">
  <Template>Normal</Template>
  <Pages>49</Pages>
  <Words>4382</Words>
  <Characters>24983</Characters>
  <Lines>208</Lines>
  <Paragraphs>58</Paragraphs>
  <TotalTime>17</TotalTime>
  <ScaleCrop>false</ScaleCrop>
  <LinksUpToDate>false</LinksUpToDate>
  <CharactersWithSpaces>29307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2023-11-01T12:55:00Z</dcterms:created>
  <dc:creator>admin</dc:creator>
  <cp:lastModifiedBy>admin</cp:lastModifiedBy>
  <dcterms:modified xsi:type="dcterms:W3CDTF">2023-11-20T08:00:33Z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A66EC4C7AB4148179E195F275AA57EC4_13</vt:lpwstr>
  </property>
</Properties>
</file>