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ind w:left="2200" w:leftChars="218" w:hanging="1720"/>
        <w:rPr>
          <w:rFonts w:ascii="微软雅黑" w:hAnsi="微软雅黑" w:eastAsia="微软雅黑" w:cs="微软雅黑"/>
          <w:b/>
          <w:bCs/>
          <w:sz w:val="32"/>
          <w:u w:val="single"/>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南京医科大学全自动化学发光图像</w:t>
      </w:r>
    </w:p>
    <w:p>
      <w:pPr>
        <w:pStyle w:val="34"/>
        <w:ind w:left="0" w:leftChars="0" w:firstLine="2420" w:firstLineChars="756"/>
        <w:rPr>
          <w:rFonts w:ascii="微软雅黑" w:hAnsi="微软雅黑" w:eastAsia="微软雅黑" w:cs="微软雅黑"/>
          <w:b/>
          <w:bCs/>
          <w:sz w:val="32"/>
          <w:u w:val="single"/>
        </w:rPr>
      </w:pPr>
      <w:r>
        <w:rPr>
          <w:rFonts w:hint="eastAsia" w:ascii="微软雅黑" w:hAnsi="微软雅黑" w:eastAsia="微软雅黑" w:cs="微软雅黑"/>
          <w:b/>
          <w:bCs/>
          <w:sz w:val="32"/>
          <w:u w:val="single"/>
        </w:rPr>
        <w:t>分析系统采购项</w:t>
      </w:r>
      <w:r>
        <w:rPr>
          <w:rFonts w:hint="eastAsia" w:ascii="微软雅黑" w:hAnsi="微软雅黑" w:eastAsia="微软雅黑" w:cs="微软雅黑"/>
          <w:b/>
          <w:bCs/>
          <w:sz w:val="32"/>
          <w:u w:val="single"/>
          <w:lang w:val="en-US" w:eastAsia="zh-CN"/>
        </w:rPr>
        <w:t xml:space="preserve">目                        </w:t>
      </w:r>
      <w:r>
        <w:rPr>
          <w:rFonts w:hint="eastAsia" w:ascii="微软雅黑" w:hAnsi="微软雅黑" w:eastAsia="微软雅黑" w:cs="微软雅黑"/>
          <w:b/>
          <w:bCs/>
          <w:sz w:val="32"/>
          <w:u w:val="single"/>
        </w:rPr>
        <w:t xml:space="preserve">              </w:t>
      </w:r>
    </w:p>
    <w:p>
      <w:pPr>
        <w:pStyle w:val="34"/>
        <w:rPr>
          <w:rFonts w:ascii="微软雅黑" w:hAnsi="微软雅黑" w:eastAsia="微软雅黑" w:cs="微软雅黑"/>
          <w:b/>
          <w:bCs/>
          <w:sz w:val="13"/>
          <w:szCs w:val="10"/>
          <w:u w:val="thick"/>
        </w:rPr>
      </w:pPr>
    </w:p>
    <w:p>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NJMUZB3012024043</w:t>
      </w: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二零二四年六月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sz w:val="32"/>
        </w:rPr>
      </w:pPr>
      <w:bookmarkStart w:id="0" w:name="_Toc517190880"/>
      <w:bookmarkStart w:id="1" w:name="_Toc120614210"/>
      <w:bookmarkStart w:id="2" w:name="_Toc20823272"/>
      <w:bookmarkStart w:id="3" w:name="_Toc523127445"/>
      <w:bookmarkStart w:id="4" w:name="_Toc16938516"/>
      <w:bookmarkStart w:id="5" w:name="_Toc479757206"/>
      <w:bookmarkStart w:id="6" w:name="_Toc513029200"/>
      <w:r>
        <w:rPr>
          <w:rFonts w:hint="eastAsia" w:ascii="黑体" w:hAnsi="黑体" w:eastAsia="黑体"/>
          <w:b/>
          <w:sz w:val="44"/>
          <w:szCs w:val="28"/>
        </w:rPr>
        <w:t>目  录</w:t>
      </w:r>
      <w:bookmarkEnd w:id="0"/>
    </w:p>
    <w:p>
      <w:pPr>
        <w:pStyle w:val="18"/>
        <w:tabs>
          <w:tab w:val="right" w:leader="dot" w:pos="8306"/>
        </w:tabs>
        <w:spacing w:line="360" w:lineRule="auto"/>
        <w:rPr>
          <w:sz w:val="22"/>
          <w:szCs w:val="22"/>
        </w:rPr>
      </w:pPr>
      <w:r>
        <w:rPr>
          <w:rFonts w:asciiTheme="minorEastAsia" w:hAnsiTheme="minorEastAsia" w:eastAsiaTheme="minorEastAsia"/>
          <w:b w:val="0"/>
          <w:sz w:val="48"/>
          <w:szCs w:val="36"/>
        </w:rPr>
        <w:fldChar w:fldCharType="begin"/>
      </w:r>
      <w:r>
        <w:rPr>
          <w:rFonts w:asciiTheme="minorEastAsia" w:hAnsiTheme="minorEastAsia" w:eastAsiaTheme="minorEastAsia"/>
          <w:b w:val="0"/>
          <w:sz w:val="48"/>
          <w:szCs w:val="36"/>
        </w:rPr>
        <w:instrText xml:space="preserve"> TOC \o "1-3" \h \z \u </w:instrText>
      </w:r>
      <w:r>
        <w:rPr>
          <w:rFonts w:asciiTheme="minorEastAsia" w:hAnsiTheme="minorEastAsia" w:eastAsiaTheme="minorEastAsia"/>
          <w:b w:val="0"/>
          <w:sz w:val="48"/>
          <w:szCs w:val="36"/>
        </w:rPr>
        <w:fldChar w:fldCharType="separate"/>
      </w:r>
      <w:r>
        <w:fldChar w:fldCharType="begin"/>
      </w:r>
      <w:r>
        <w:instrText xml:space="preserve"> HYPERLINK \l "_Toc14382" </w:instrText>
      </w:r>
      <w:r>
        <w:fldChar w:fldCharType="separate"/>
      </w:r>
      <w:r>
        <w:rPr>
          <w:rFonts w:hint="eastAsia" w:asciiTheme="majorEastAsia" w:hAnsiTheme="majorEastAsia" w:eastAsiaTheme="majorEastAsia"/>
          <w:sz w:val="22"/>
          <w:szCs w:val="40"/>
        </w:rPr>
        <w:t>第一章  招标公告</w:t>
      </w:r>
      <w:r>
        <w:rPr>
          <w:sz w:val="22"/>
          <w:szCs w:val="22"/>
        </w:rPr>
        <w:tab/>
      </w:r>
      <w:r>
        <w:rPr>
          <w:sz w:val="22"/>
          <w:szCs w:val="22"/>
        </w:rPr>
        <w:fldChar w:fldCharType="begin"/>
      </w:r>
      <w:r>
        <w:rPr>
          <w:sz w:val="22"/>
          <w:szCs w:val="22"/>
        </w:rPr>
        <w:instrText xml:space="preserve"> PAGEREF _Toc14382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"_Toc5435" </w:instrText>
      </w:r>
      <w:r>
        <w:fldChar w:fldCharType="separate"/>
      </w:r>
      <w:r>
        <w:rPr>
          <w:rFonts w:hint="eastAsia" w:asciiTheme="majorEastAsia" w:hAnsiTheme="majorEastAsia" w:eastAsiaTheme="majorEastAsia"/>
          <w:sz w:val="22"/>
          <w:szCs w:val="40"/>
        </w:rPr>
        <w:t>第二章  投标人须知</w:t>
      </w:r>
      <w:r>
        <w:rPr>
          <w:sz w:val="22"/>
          <w:szCs w:val="22"/>
        </w:rPr>
        <w:tab/>
      </w:r>
      <w:r>
        <w:rPr>
          <w:sz w:val="22"/>
          <w:szCs w:val="22"/>
        </w:rPr>
        <w:fldChar w:fldCharType="begin"/>
      </w:r>
      <w:r>
        <w:rPr>
          <w:sz w:val="22"/>
          <w:szCs w:val="22"/>
        </w:rPr>
        <w:instrText xml:space="preserve"> PAGEREF _Toc5435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"_Toc25127" </w:instrText>
      </w:r>
      <w:r>
        <w:fldChar w:fldCharType="separate"/>
      </w:r>
      <w:r>
        <w:rPr>
          <w:rFonts w:hint="eastAsia" w:asciiTheme="majorEastAsia" w:hAnsiTheme="majorEastAsia" w:eastAsiaTheme="majorEastAsia"/>
          <w:sz w:val="22"/>
          <w:szCs w:val="40"/>
        </w:rPr>
        <w:t>第三章  项目需求</w:t>
      </w:r>
      <w:r>
        <w:rPr>
          <w:sz w:val="22"/>
          <w:szCs w:val="22"/>
        </w:rPr>
        <w:tab/>
      </w:r>
      <w:r>
        <w:rPr>
          <w:sz w:val="22"/>
          <w:szCs w:val="22"/>
        </w:rPr>
        <w:fldChar w:fldCharType="begin"/>
      </w:r>
      <w:r>
        <w:rPr>
          <w:sz w:val="22"/>
          <w:szCs w:val="22"/>
        </w:rPr>
        <w:instrText xml:space="preserve"> PAGEREF _Toc25127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"_Toc18649" </w:instrText>
      </w:r>
      <w:r>
        <w:fldChar w:fldCharType="separate"/>
      </w:r>
      <w:r>
        <w:rPr>
          <w:rFonts w:hint="eastAsia" w:asciiTheme="majorEastAsia" w:hAnsiTheme="majorEastAsia" w:eastAsiaTheme="majorEastAsia"/>
          <w:sz w:val="22"/>
          <w:szCs w:val="40"/>
        </w:rPr>
        <w:t>第四章  评标方法与评标标准</w:t>
      </w:r>
      <w:r>
        <w:rPr>
          <w:sz w:val="22"/>
          <w:szCs w:val="22"/>
        </w:rPr>
        <w:tab/>
      </w:r>
      <w:r>
        <w:rPr>
          <w:sz w:val="22"/>
          <w:szCs w:val="22"/>
        </w:rPr>
        <w:fldChar w:fldCharType="begin"/>
      </w:r>
      <w:r>
        <w:rPr>
          <w:sz w:val="22"/>
          <w:szCs w:val="22"/>
        </w:rPr>
        <w:instrText xml:space="preserve"> PAGEREF _Toc18649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"_Toc32587" </w:instrText>
      </w:r>
      <w:r>
        <w:fldChar w:fldCharType="separate"/>
      </w:r>
      <w:r>
        <w:rPr>
          <w:rFonts w:hint="eastAsia" w:ascii="宋体" w:hAnsi="宋体" w:cs="宋体"/>
          <w:sz w:val="22"/>
          <w:szCs w:val="40"/>
        </w:rPr>
        <w:t>第五章  拟签订的合同文本</w:t>
      </w:r>
      <w:r>
        <w:rPr>
          <w:sz w:val="22"/>
          <w:szCs w:val="22"/>
        </w:rPr>
        <w:tab/>
      </w:r>
      <w:r>
        <w:rPr>
          <w:sz w:val="22"/>
          <w:szCs w:val="22"/>
        </w:rPr>
        <w:fldChar w:fldCharType="begin"/>
      </w:r>
      <w:r>
        <w:rPr>
          <w:sz w:val="22"/>
          <w:szCs w:val="22"/>
        </w:rPr>
        <w:instrText xml:space="preserve"> PAGEREF _Toc32587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"_Toc25485" </w:instrText>
      </w:r>
      <w:r>
        <w:fldChar w:fldCharType="separate"/>
      </w:r>
      <w:r>
        <w:rPr>
          <w:rFonts w:hint="eastAsia" w:asciiTheme="majorEastAsia" w:hAnsiTheme="majorEastAsia" w:eastAsiaTheme="majorEastAsia" w:cstheme="minorBidi"/>
          <w:kern w:val="0"/>
          <w:sz w:val="22"/>
          <w:szCs w:val="40"/>
        </w:rPr>
        <w:t>第六章  投标文件格式</w:t>
      </w:r>
      <w:r>
        <w:rPr>
          <w:sz w:val="22"/>
          <w:szCs w:val="22"/>
        </w:rPr>
        <w:tab/>
      </w:r>
      <w:r>
        <w:rPr>
          <w:sz w:val="22"/>
          <w:szCs w:val="22"/>
        </w:rPr>
        <w:fldChar w:fldCharType="begin"/>
      </w:r>
      <w:r>
        <w:rPr>
          <w:sz w:val="22"/>
          <w:szCs w:val="22"/>
        </w:rPr>
        <w:instrText xml:space="preserve"> PAGEREF _Toc25485 \h </w:instrText>
      </w:r>
      <w:r>
        <w:rPr>
          <w:sz w:val="22"/>
          <w:szCs w:val="22"/>
        </w:rPr>
        <w:fldChar w:fldCharType="separate"/>
      </w:r>
      <w:r>
        <w:rPr>
          <w:sz w:val="22"/>
          <w:szCs w:val="22"/>
        </w:rPr>
        <w:t>27</w:t>
      </w:r>
      <w:r>
        <w:rPr>
          <w:sz w:val="22"/>
          <w:szCs w:val="22"/>
        </w:rPr>
        <w:fldChar w:fldCharType="end"/>
      </w:r>
      <w:r>
        <w:rPr>
          <w:sz w:val="22"/>
          <w:szCs w:val="22"/>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 w:val="28"/>
          <w:szCs w:val="36"/>
        </w:rPr>
        <w:fldChar w:fldCharType="end"/>
      </w:r>
    </w:p>
    <w:p>
      <w:pPr>
        <w:spacing w:line="480" w:lineRule="auto"/>
        <w:rPr>
          <w:rFonts w:ascii="仿宋_GB2312" w:hAnsi="Arial" w:eastAsia="仿宋_GB2312"/>
          <w:b/>
          <w:sz w:val="28"/>
        </w:rPr>
      </w:pPr>
    </w:p>
    <w:p/>
    <w:p/>
    <w:p/>
    <w:p/>
    <w:p/>
    <w:p/>
    <w:p/>
    <w:p/>
    <w:p/>
    <w:p/>
    <w:p/>
    <w:p/>
    <w:p/>
    <w:p/>
    <w:bookmarkEnd w:id="1"/>
    <w:p>
      <w:pPr>
        <w:pStyle w:val="2"/>
        <w:pageBreakBefore/>
        <w:rPr>
          <w:rFonts w:asciiTheme="majorEastAsia" w:hAnsiTheme="majorEastAsia" w:eastAsiaTheme="majorEastAsia"/>
          <w:b/>
          <w:sz w:val="32"/>
          <w:szCs w:val="32"/>
        </w:rPr>
      </w:pPr>
      <w:bookmarkStart w:id="7" w:name="_Toc14382"/>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20823314"/>
      <w:bookmarkStart w:id="9" w:name="_Toc16938558"/>
      <w:bookmarkStart w:id="10" w:name="_Toc444669970"/>
      <w:bookmarkStart w:id="11" w:name="_Toc513029242"/>
      <w:bookmarkStart w:id="12" w:name="_Toc120614221"/>
      <w:bookmarkStart w:id="13" w:name="OLE_LINK1"/>
      <w:bookmarkStart w:id="14" w:name="_Toc120614211"/>
      <w:bookmarkStart w:id="15" w:name="_Toc479757207"/>
      <w:bookmarkStart w:id="16" w:name="OLE_LINK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全自动化学发光图像分析系统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1.1项目名称：全自动化学发光图像分析系统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w:t>
      </w:r>
      <w:r>
        <w:rPr>
          <w:rFonts w:hint="eastAsia" w:ascii="宋体" w:hAnsi="宋体" w:eastAsia="宋体" w:cs="宋体"/>
          <w:color w:val="000000" w:themeColor="text1"/>
          <w:sz w:val="24"/>
          <w:szCs w:val="24"/>
          <w14:textFill>
            <w14:solidFill>
              <w14:schemeClr w14:val="tx1"/>
            </w14:solidFill>
          </w14:textFill>
        </w:rPr>
        <w:t>NJMUZB3012024043</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1.3项目预算：人民币13.5万元（¥ 135000.00）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1.4最高总限价：13.5万元，投标报价超过最高限价的为无效投标。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2.1采购需求：为满足南京医科大学科研实验需要，拟采购一台全自动化学发光图像分析系统。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日9点</w:t>
      </w:r>
      <w:r>
        <w:rPr>
          <w:rFonts w:hint="eastAsia" w:ascii="宋体" w:hAnsi="宋体" w:eastAsia="宋体" w:cs="宋体"/>
          <w:sz w:val="24"/>
          <w:szCs w:val="24"/>
          <w:lang w:val="en-US" w:eastAsia="zh-CN"/>
        </w:rPr>
        <w:t>15分（北京时间</w:t>
      </w:r>
      <w:bookmarkStart w:id="74" w:name="_GoBack"/>
      <w:bookmarkEnd w:id="74"/>
      <w:r>
        <w:rPr>
          <w:rFonts w:hint="eastAsia" w:ascii="宋体" w:hAnsi="宋体" w:eastAsia="宋体" w:cs="宋体"/>
          <w:sz w:val="24"/>
          <w:szCs w:val="24"/>
          <w:lang w:val="en-US" w:eastAsia="zh-CN"/>
        </w:rPr>
        <w:t>）</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联系人：张老师             联系电话：18260060703</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5435"/>
      <w:r>
        <w:rPr>
          <w:rFonts w:hint="eastAsia" w:asciiTheme="majorEastAsia" w:hAnsiTheme="majorEastAsia" w:eastAsiaTheme="majorEastAsia"/>
          <w:b/>
          <w:sz w:val="32"/>
          <w:szCs w:val="32"/>
        </w:rPr>
        <w:t xml:space="preserve">第二章  </w:t>
      </w:r>
      <w:bookmarkStart w:id="18" w:name="_Toc120614213"/>
      <w:bookmarkStart w:id="19" w:name="_Toc513029202"/>
      <w:bookmarkStart w:id="20" w:name="_Toc20823274"/>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513029203"/>
      <w:bookmarkStart w:id="23" w:name="_Toc120614214"/>
      <w:bookmarkStart w:id="24" w:name="_Toc16938519"/>
      <w:bookmarkStart w:id="25" w:name="_Toc20823275"/>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513029237"/>
      <w:bookmarkStart w:id="35" w:name="_Toc20823309"/>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5127"/>
      <w:r>
        <w:rPr>
          <w:rFonts w:hint="eastAsia" w:asciiTheme="majorEastAsia" w:hAnsiTheme="majorEastAsia" w:eastAsiaTheme="majorEastAsia"/>
          <w:b/>
          <w:sz w:val="32"/>
          <w:szCs w:val="32"/>
        </w:rPr>
        <w:t>第三章  项目需求</w:t>
      </w:r>
      <w:bookmarkEnd w:id="41"/>
    </w:p>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06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4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序号</w:t>
            </w:r>
          </w:p>
        </w:tc>
        <w:tc>
          <w:tcPr>
            <w:tcW w:w="2064"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1</w:t>
            </w:r>
          </w:p>
        </w:tc>
        <w:tc>
          <w:tcPr>
            <w:tcW w:w="206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全自动化学发光图像分析系统</w:t>
            </w:r>
          </w:p>
        </w:tc>
        <w:tc>
          <w:tcPr>
            <w:tcW w:w="170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1705"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val="en-US" w:eastAsia="zh-CN"/>
              </w:rPr>
              <w:t>135</w:t>
            </w:r>
            <w:r>
              <w:rPr>
                <w:rFonts w:hint="eastAsia" w:ascii="宋体" w:hAnsi="宋体" w:eastAsia="宋体" w:cs="宋体"/>
                <w:sz w:val="24"/>
                <w:szCs w:val="24"/>
              </w:rPr>
              <w:t>000</w:t>
            </w:r>
          </w:p>
        </w:tc>
      </w:tr>
    </w:tbl>
    <w:p>
      <w:pPr>
        <w:pStyle w:val="40"/>
        <w:spacing w:line="360" w:lineRule="auto"/>
        <w:ind w:firstLine="0" w:firstLineChars="0"/>
        <w:rPr>
          <w:rFonts w:ascii="宋体" w:hAnsi="宋体" w:eastAsia="宋体" w:cs="宋体"/>
          <w:b/>
          <w:bCs/>
          <w:sz w:val="24"/>
          <w:szCs w:val="24"/>
        </w:rPr>
      </w:pPr>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二、技术要求</w:t>
      </w:r>
    </w:p>
    <w:p>
      <w:pPr>
        <w:pStyle w:val="4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适用范围</w:t>
      </w:r>
      <w:r>
        <w:rPr>
          <w:rFonts w:hint="eastAsia" w:ascii="宋体" w:hAnsi="宋体" w:eastAsia="宋体" w:cs="宋体"/>
          <w:sz w:val="24"/>
          <w:szCs w:val="24"/>
        </w:rPr>
        <w:t>：</w:t>
      </w:r>
      <w:r>
        <w:rPr>
          <w:rFonts w:hint="eastAsia" w:ascii="宋体" w:hAnsi="宋体" w:eastAsia="宋体" w:cs="宋体"/>
          <w:sz w:val="24"/>
          <w:szCs w:val="24"/>
          <w:lang w:val="zh-CN"/>
        </w:rPr>
        <w:t>用于药物、氨基酸、多肽、蛋白质和核酸检测分析</w:t>
      </w:r>
      <w:r>
        <w:rPr>
          <w:rFonts w:hint="eastAsia" w:ascii="宋体" w:hAnsi="宋体" w:eastAsia="宋体" w:cs="宋体"/>
          <w:sz w:val="24"/>
          <w:szCs w:val="24"/>
        </w:rPr>
        <w:t>,</w:t>
      </w:r>
      <w:r>
        <w:rPr>
          <w:rFonts w:hint="eastAsia" w:ascii="宋体" w:hAnsi="宋体" w:eastAsia="宋体" w:cs="宋体"/>
          <w:sz w:val="24"/>
          <w:szCs w:val="24"/>
          <w:lang w:val="zh-CN"/>
        </w:rPr>
        <w:t>蛋白质与药物、核酸相互作用研究</w:t>
      </w:r>
      <w:r>
        <w:rPr>
          <w:rFonts w:hint="eastAsia" w:ascii="宋体" w:hAnsi="宋体" w:eastAsia="宋体" w:cs="宋体"/>
          <w:sz w:val="24"/>
          <w:szCs w:val="24"/>
        </w:rPr>
        <w:t>；</w:t>
      </w:r>
      <w:r>
        <w:rPr>
          <w:rFonts w:hint="eastAsia" w:ascii="宋体" w:hAnsi="宋体" w:eastAsia="宋体" w:cs="宋体"/>
          <w:sz w:val="24"/>
          <w:szCs w:val="24"/>
          <w:lang w:val="zh-CN"/>
        </w:rPr>
        <w:t>主要涉及实验有</w:t>
      </w:r>
      <w:r>
        <w:rPr>
          <w:rFonts w:hint="eastAsia" w:ascii="宋体" w:hAnsi="宋体" w:eastAsia="宋体" w:cs="宋体"/>
          <w:sz w:val="24"/>
          <w:szCs w:val="24"/>
        </w:rPr>
        <w:t>：</w:t>
      </w:r>
      <w:r>
        <w:rPr>
          <w:rFonts w:hint="eastAsia" w:ascii="宋体" w:hAnsi="宋体" w:eastAsia="宋体" w:cs="宋体"/>
          <w:sz w:val="24"/>
          <w:szCs w:val="24"/>
          <w:lang w:val="zh-CN"/>
        </w:rPr>
        <w:t>化学发光</w:t>
      </w:r>
      <w:r>
        <w:rPr>
          <w:rFonts w:hint="eastAsia" w:ascii="宋体" w:hAnsi="宋体" w:eastAsia="宋体" w:cs="宋体"/>
          <w:sz w:val="24"/>
          <w:szCs w:val="24"/>
        </w:rPr>
        <w:t>（western blot,northern blot</w:t>
      </w:r>
      <w:r>
        <w:rPr>
          <w:rFonts w:hint="eastAsia" w:ascii="宋体" w:hAnsi="宋体" w:eastAsia="宋体" w:cs="宋体"/>
          <w:sz w:val="24"/>
          <w:szCs w:val="24"/>
          <w:lang w:val="zh-CN"/>
        </w:rPr>
        <w:t>等</w:t>
      </w:r>
      <w:r>
        <w:rPr>
          <w:rFonts w:hint="eastAsia" w:ascii="宋体" w:hAnsi="宋体" w:eastAsia="宋体" w:cs="宋体"/>
          <w:sz w:val="24"/>
          <w:szCs w:val="24"/>
        </w:rPr>
        <w:t>，Western blot</w:t>
      </w:r>
      <w:r>
        <w:rPr>
          <w:rFonts w:hint="eastAsia" w:ascii="宋体" w:hAnsi="宋体" w:eastAsia="宋体" w:cs="宋体"/>
          <w:sz w:val="24"/>
          <w:szCs w:val="24"/>
          <w:lang w:val="zh-CN"/>
        </w:rPr>
        <w:t>、</w:t>
      </w:r>
      <w:r>
        <w:rPr>
          <w:rFonts w:hint="eastAsia" w:ascii="宋体" w:hAnsi="宋体" w:eastAsia="宋体" w:cs="宋体"/>
          <w:sz w:val="24"/>
          <w:szCs w:val="24"/>
        </w:rPr>
        <w:t>Southern blot</w:t>
      </w:r>
      <w:r>
        <w:rPr>
          <w:rFonts w:hint="eastAsia" w:ascii="宋体" w:hAnsi="宋体" w:eastAsia="宋体" w:cs="宋体"/>
          <w:sz w:val="24"/>
          <w:szCs w:val="24"/>
          <w:lang w:val="zh-CN"/>
        </w:rPr>
        <w:t>、</w:t>
      </w:r>
      <w:r>
        <w:rPr>
          <w:rFonts w:hint="eastAsia" w:ascii="宋体" w:hAnsi="宋体" w:eastAsia="宋体" w:cs="宋体"/>
          <w:sz w:val="24"/>
          <w:szCs w:val="24"/>
        </w:rPr>
        <w:t>Northern blot</w:t>
      </w:r>
      <w:r>
        <w:rPr>
          <w:rFonts w:hint="eastAsia" w:ascii="宋体" w:hAnsi="宋体" w:eastAsia="宋体" w:cs="宋体"/>
          <w:sz w:val="24"/>
          <w:szCs w:val="24"/>
          <w:lang w:val="zh-CN"/>
        </w:rPr>
        <w:t>、</w:t>
      </w:r>
      <w:r>
        <w:rPr>
          <w:rFonts w:hint="eastAsia" w:ascii="宋体" w:hAnsi="宋体" w:eastAsia="宋体" w:cs="宋体"/>
          <w:sz w:val="24"/>
          <w:szCs w:val="24"/>
        </w:rPr>
        <w:t>Dot blot</w:t>
      </w:r>
      <w:r>
        <w:rPr>
          <w:rFonts w:hint="eastAsia" w:ascii="宋体" w:hAnsi="宋体" w:eastAsia="宋体" w:cs="宋体"/>
          <w:sz w:val="24"/>
          <w:szCs w:val="24"/>
          <w:lang w:val="zh-CN"/>
        </w:rPr>
        <w:t>、</w:t>
      </w:r>
      <w:r>
        <w:rPr>
          <w:rFonts w:hint="eastAsia" w:ascii="宋体" w:hAnsi="宋体" w:eastAsia="宋体" w:cs="宋体"/>
          <w:sz w:val="24"/>
          <w:szCs w:val="24"/>
        </w:rPr>
        <w:t>Elisa</w:t>
      </w:r>
      <w:r>
        <w:rPr>
          <w:rFonts w:hint="eastAsia" w:ascii="宋体" w:hAnsi="宋体" w:eastAsia="宋体" w:cs="宋体"/>
          <w:sz w:val="24"/>
          <w:szCs w:val="24"/>
          <w:lang w:val="zh-CN"/>
        </w:rPr>
        <w:t>等发光实验</w:t>
      </w:r>
      <w:r>
        <w:rPr>
          <w:rFonts w:hint="eastAsia" w:ascii="宋体" w:hAnsi="宋体" w:eastAsia="宋体" w:cs="宋体"/>
          <w:sz w:val="24"/>
          <w:szCs w:val="24"/>
        </w:rPr>
        <w:t>），</w:t>
      </w:r>
      <w:r>
        <w:rPr>
          <w:rFonts w:hint="eastAsia" w:ascii="宋体" w:hAnsi="宋体" w:eastAsia="宋体" w:cs="宋体"/>
          <w:sz w:val="24"/>
          <w:szCs w:val="24"/>
          <w:lang w:val="zh-CN"/>
        </w:rPr>
        <w:t>生物学自发光</w:t>
      </w:r>
      <w:r>
        <w:rPr>
          <w:rFonts w:hint="eastAsia" w:ascii="宋体" w:hAnsi="宋体" w:eastAsia="宋体" w:cs="宋体"/>
          <w:sz w:val="24"/>
          <w:szCs w:val="24"/>
        </w:rPr>
        <w:t>,</w:t>
      </w:r>
      <w:r>
        <w:rPr>
          <w:rFonts w:hint="eastAsia" w:ascii="宋体" w:hAnsi="宋体" w:eastAsia="宋体" w:cs="宋体"/>
          <w:sz w:val="24"/>
          <w:szCs w:val="24"/>
          <w:lang w:val="zh-CN"/>
        </w:rPr>
        <w:t>培养皿菌落计数</w:t>
      </w:r>
      <w:r>
        <w:rPr>
          <w:rFonts w:hint="eastAsia" w:ascii="宋体" w:hAnsi="宋体" w:eastAsia="宋体" w:cs="宋体"/>
          <w:sz w:val="24"/>
          <w:szCs w:val="24"/>
        </w:rPr>
        <w:t>，</w:t>
      </w:r>
      <w:r>
        <w:rPr>
          <w:rFonts w:hint="eastAsia" w:ascii="宋体" w:hAnsi="宋体" w:eastAsia="宋体" w:cs="宋体"/>
          <w:sz w:val="24"/>
          <w:szCs w:val="24"/>
          <w:lang w:val="zh-CN"/>
        </w:rPr>
        <w:t>酶标板</w:t>
      </w:r>
      <w:r>
        <w:rPr>
          <w:rFonts w:hint="eastAsia" w:ascii="宋体" w:hAnsi="宋体" w:eastAsia="宋体" w:cs="宋体"/>
          <w:sz w:val="24"/>
          <w:szCs w:val="24"/>
        </w:rPr>
        <w:t>，</w:t>
      </w:r>
      <w:r>
        <w:rPr>
          <w:rFonts w:hint="eastAsia" w:ascii="宋体" w:hAnsi="宋体" w:eastAsia="宋体" w:cs="宋体"/>
          <w:sz w:val="24"/>
          <w:szCs w:val="24"/>
          <w:lang w:val="zh-CN"/>
        </w:rPr>
        <w:t>点杂交</w:t>
      </w:r>
      <w:r>
        <w:rPr>
          <w:rFonts w:hint="eastAsia" w:ascii="宋体" w:hAnsi="宋体" w:eastAsia="宋体" w:cs="宋体"/>
          <w:sz w:val="24"/>
          <w:szCs w:val="24"/>
        </w:rPr>
        <w:t>，</w:t>
      </w:r>
      <w:r>
        <w:rPr>
          <w:rFonts w:hint="eastAsia" w:ascii="宋体" w:hAnsi="宋体" w:eastAsia="宋体" w:cs="宋体"/>
          <w:sz w:val="24"/>
          <w:szCs w:val="24"/>
          <w:lang w:val="zh-CN"/>
        </w:rPr>
        <w:t>蛋白芯片</w:t>
      </w:r>
      <w:r>
        <w:rPr>
          <w:rFonts w:hint="eastAsia" w:ascii="宋体" w:hAnsi="宋体" w:eastAsia="宋体" w:cs="宋体"/>
          <w:sz w:val="24"/>
          <w:szCs w:val="24"/>
        </w:rPr>
        <w:t>，</w:t>
      </w:r>
      <w:r>
        <w:rPr>
          <w:rFonts w:hint="eastAsia" w:ascii="宋体" w:hAnsi="宋体" w:eastAsia="宋体" w:cs="宋体"/>
          <w:sz w:val="24"/>
          <w:szCs w:val="24"/>
          <w:lang w:val="zh-CN"/>
        </w:rPr>
        <w:t>电化学</w:t>
      </w:r>
      <w:r>
        <w:rPr>
          <w:rFonts w:hint="eastAsia" w:ascii="宋体" w:hAnsi="宋体" w:eastAsia="宋体" w:cs="宋体"/>
          <w:sz w:val="24"/>
          <w:szCs w:val="24"/>
        </w:rPr>
        <w:t>，</w:t>
      </w:r>
      <w:r>
        <w:rPr>
          <w:rFonts w:hint="eastAsia" w:ascii="宋体" w:hAnsi="宋体" w:eastAsia="宋体" w:cs="宋体"/>
          <w:sz w:val="24"/>
          <w:szCs w:val="24"/>
          <w:lang w:val="zh-CN"/>
        </w:rPr>
        <w:t>自发光检测</w:t>
      </w:r>
      <w:r>
        <w:rPr>
          <w:rFonts w:hint="eastAsia" w:ascii="宋体" w:hAnsi="宋体" w:eastAsia="宋体" w:cs="宋体"/>
          <w:sz w:val="24"/>
          <w:szCs w:val="24"/>
        </w:rPr>
        <w:t>，</w:t>
      </w:r>
      <w:r>
        <w:rPr>
          <w:rFonts w:hint="eastAsia" w:ascii="宋体" w:hAnsi="宋体" w:eastAsia="宋体" w:cs="宋体"/>
          <w:sz w:val="24"/>
          <w:szCs w:val="24"/>
          <w:lang w:val="zh-CN"/>
        </w:rPr>
        <w:t>紫外成像</w:t>
      </w:r>
      <w:r>
        <w:rPr>
          <w:rFonts w:hint="eastAsia" w:ascii="宋体" w:hAnsi="宋体" w:eastAsia="宋体" w:cs="宋体"/>
          <w:sz w:val="24"/>
          <w:szCs w:val="24"/>
        </w:rPr>
        <w:t>，</w:t>
      </w:r>
      <w:r>
        <w:rPr>
          <w:rFonts w:hint="eastAsia" w:ascii="宋体" w:hAnsi="宋体" w:eastAsia="宋体" w:cs="宋体"/>
          <w:sz w:val="24"/>
          <w:szCs w:val="24"/>
          <w:lang w:val="zh-CN"/>
        </w:rPr>
        <w:t>多色荧光成像和动植物活体成像等。</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1.高灵敏度制冷CCD相机：品牌科研级深度制冷CCD相机</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2.CCD像素： 600万；CCD阵列： 2688×2200</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 ▲量子效率：≥75%；暗电流：≤0.00015 e-/pixel/sec</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 ▲制冷温度：相对制冷温度-60℃，绝对温度-30℃，不随环境变化而变化（需提供CCD制造商官方文件）。</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5.▲镜头：F/0.8高清晰大口径高通透电动镜头，可通过计算机对焦距进行电动调整。</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 像素合并：1×1，2×2，4×4（可兼容6×6，8×8，12×12，16×16，24×24）。</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7.照明模式：透射紫外，透射白光，反射紫外，反射白光，可选配透射蓝光和红、绿、蓝反射激发光源。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8.激发光源：透射：302nm和白光；LED反射白光灯（冷光）双侧反射：254nm，365nm高亮度LED、 可选配红、绿、蓝反射激发光源。</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9.滤光片光片位置5位电脑控制自动定位滤光片轮：标配590nm（可选配535nm、605nm、699nm）。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10.拍摄面积：16×16cm；20×20cm。</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11.定时功能：用户可自行设定定时自动关闭、紫外光源的时间（1～60分钟）。</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12. 图片质量和软件智能化曝光：图像分辨率：300/600/1200DPI；系统可根据用户自主选择的任意位置及任意大小的样品区域，自动完成精准测光及曝光成像，保证每一次均能获取最佳实验结果。</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13.自动识别泳道条带、自动计算泳道中各条带的密度积分和峰值、计算分子量大小及条带的迁移率，可进行蛋白纯度及等定点分析，分析数据能输出至Excel及TXT文件。</w:t>
      </w:r>
    </w:p>
    <w:p>
      <w:pPr>
        <w:pStyle w:val="40"/>
        <w:spacing w:line="360" w:lineRule="auto"/>
        <w:ind w:firstLine="480"/>
        <w:rPr>
          <w:rFonts w:ascii="宋体" w:hAnsi="宋体" w:eastAsia="宋体" w:cs="宋体"/>
          <w:b/>
          <w:bCs/>
          <w:sz w:val="24"/>
          <w:szCs w:val="24"/>
        </w:rPr>
      </w:pPr>
      <w:r>
        <w:rPr>
          <w:rFonts w:hint="eastAsia" w:ascii="宋体" w:hAnsi="宋体" w:eastAsia="宋体" w:cs="宋体"/>
          <w:sz w:val="24"/>
          <w:szCs w:val="24"/>
          <w:lang w:val="zh-CN"/>
        </w:rPr>
        <w:t>14.仪器操作软件：荧光成像（LUC，GFP，RFP等）、生物发光/动植物活体成像、化学发光、紫外成像和白光成像五种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自发光检测，紫外成像，多色荧光成像和动植物活体成像等。</w:t>
      </w:r>
    </w:p>
    <w:p>
      <w:pPr>
        <w:autoSpaceDE w:val="0"/>
        <w:autoSpaceDN w:val="0"/>
        <w:spacing w:line="360" w:lineRule="auto"/>
        <w:ind w:firstLine="420"/>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（1）技术培训：为采购方进行人员培训，提供每年不少于两次的设备操作培训，培训人员数量不低于五 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（2）免费质保期：质保期一年，自验收合格次日起算。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（3）售后技术服务要求：接到故障通知后4小时内作出答复，一般问题24小时之内解决；若采购方有需求，24小时内到达现场解决；若遇重大问题在两天内解决。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b/>
          <w:bCs/>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A【国产设备及进口设备（非免税）】：货物交付、安装、调试且通过验收后一周内（遇寒暑假和法定节假日顺延）甲方支付合同总金额的100%，付款之前需收到乙方开具的合法有效的相应金额发票。</w:t>
      </w:r>
    </w:p>
    <w:p>
      <w:pPr>
        <w:pStyle w:val="2"/>
        <w:pageBreakBefore/>
        <w:rPr>
          <w:rFonts w:asciiTheme="majorEastAsia" w:hAnsiTheme="majorEastAsia" w:eastAsiaTheme="majorEastAsia"/>
          <w:b/>
          <w:sz w:val="32"/>
          <w:szCs w:val="32"/>
        </w:rPr>
      </w:pPr>
      <w:bookmarkStart w:id="49" w:name="_Toc18649"/>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34"/>
        <w:gridCol w:w="718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价格</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价格分采用低价优先法计算，即满足采购文件要求且报价最低的投标人的最终报价为评审基准价，其价格分为满分30分，其它投标人的价格分统一按照以下公式计算：</w:t>
            </w:r>
          </w:p>
          <w:p>
            <w:pPr>
              <w:spacing w:line="400" w:lineRule="exact"/>
              <w:rPr>
                <w:rFonts w:ascii="微软雅黑" w:hAnsi="微软雅黑" w:cs="微软雅黑"/>
                <w:szCs w:val="21"/>
              </w:rPr>
            </w:pPr>
            <w:r>
              <w:rPr>
                <w:rFonts w:hint="eastAsia" w:ascii="微软雅黑" w:hAnsi="微软雅黑" w:cs="微软雅黑"/>
                <w:szCs w:val="21"/>
              </w:rPr>
              <w:t>报价得分=(评审基准价/该投标人的最终报价)×30（保留小数点后两位）。</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技术指标</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投标人对招标文件具体项目需求的响应程度：全部响应即满足招标文件的技术指标、参数及服务要求的得40分，加“▲”为实质性需求参数，</w:t>
            </w:r>
            <w:r>
              <w:rPr>
                <w:rFonts w:hint="eastAsia" w:ascii="微软雅黑" w:hAnsi="微软雅黑" w:cs="微软雅黑"/>
                <w:szCs w:val="21"/>
                <w:lang w:val="en-US" w:eastAsia="zh-CN"/>
              </w:rPr>
              <w:t>有一项不满足废标</w:t>
            </w:r>
            <w:r>
              <w:rPr>
                <w:rFonts w:hint="eastAsia" w:ascii="微软雅黑" w:hAnsi="微软雅黑" w:cs="微软雅黑"/>
                <w:szCs w:val="21"/>
              </w:rPr>
              <w:t>，其他参数每一条负偏离扣</w:t>
            </w:r>
            <w:r>
              <w:rPr>
                <w:rFonts w:hint="eastAsia" w:ascii="微软雅黑" w:hAnsi="微软雅黑" w:cs="微软雅黑"/>
                <w:szCs w:val="21"/>
                <w:lang w:val="en-US" w:eastAsia="zh-CN"/>
              </w:rPr>
              <w:t>5分，</w:t>
            </w:r>
            <w:r>
              <w:rPr>
                <w:rFonts w:hint="eastAsia" w:ascii="微软雅黑" w:hAnsi="微软雅黑" w:cs="微软雅黑"/>
                <w:szCs w:val="21"/>
              </w:rPr>
              <w:t>扣完为止。</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业绩</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投标人提供自2022年1月1 日至今承揽过类似项目业绩的，每提供一个得3 分，最高得15分。</w:t>
            </w:r>
          </w:p>
          <w:p>
            <w:pPr>
              <w:spacing w:line="400" w:lineRule="exact"/>
              <w:rPr>
                <w:rFonts w:ascii="微软雅黑" w:hAnsi="微软雅黑" w:cs="微软雅黑"/>
                <w:szCs w:val="21"/>
              </w:rPr>
            </w:pPr>
            <w:r>
              <w:rPr>
                <w:rFonts w:hint="eastAsia" w:ascii="微软雅黑" w:hAnsi="微软雅黑" w:cs="微软雅黑"/>
                <w:szCs w:val="21"/>
              </w:rPr>
              <w:t>（提供业绩合同复印件加盖公章，合同需体现相关内容，未体现不得分，合同原件备查）</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669" w:type="pct"/>
            <w:tcBorders>
              <w:left w:val="single" w:color="auto" w:sz="4" w:space="0"/>
              <w:right w:val="single" w:color="auto" w:sz="4" w:space="0"/>
            </w:tcBorders>
            <w:vAlign w:val="center"/>
          </w:tcPr>
          <w:p>
            <w:pPr>
              <w:spacing w:after="0" w:line="400" w:lineRule="exact"/>
              <w:jc w:val="center"/>
              <w:rPr>
                <w:rFonts w:ascii="宋体" w:hAnsi="宋体" w:eastAsia="宋体" w:cs="宋体"/>
                <w:b/>
                <w:bCs/>
                <w:sz w:val="24"/>
                <w:szCs w:val="24"/>
              </w:rPr>
            </w:pPr>
            <w:r>
              <w:rPr>
                <w:rFonts w:hint="eastAsia" w:ascii="微软雅黑" w:hAnsi="微软雅黑" w:cs="微软雅黑"/>
                <w:szCs w:val="21"/>
              </w:rPr>
              <w:t>售后服务</w:t>
            </w:r>
          </w:p>
        </w:tc>
        <w:tc>
          <w:tcPr>
            <w:tcW w:w="3604"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微软雅黑" w:hAnsi="微软雅黑" w:cs="微软雅黑"/>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w:t>
            </w:r>
            <w:r>
              <w:rPr>
                <w:rFonts w:ascii="微软雅黑" w:hAnsi="微软雅黑" w:cs="微软雅黑"/>
                <w:szCs w:val="21"/>
              </w:rPr>
              <w:t>10</w:t>
            </w:r>
            <w:r>
              <w:rPr>
                <w:rFonts w:hint="eastAsia" w:ascii="微软雅黑" w:hAnsi="微软雅黑" w:cs="微软雅黑"/>
                <w:szCs w:val="21"/>
              </w:rPr>
              <w:t>分；服务方案不够全面，无针对性，且售后服务、质保期后服务等技术指导方案内容不够周全的，得5分；方案无实质性内容、没有可操作性得1分，未提供的得0分。</w:t>
            </w:r>
          </w:p>
        </w:tc>
        <w:tc>
          <w:tcPr>
            <w:tcW w:w="366"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微软雅黑" w:hAnsi="微软雅黑" w:cs="微软雅黑"/>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669"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免费质保期</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项目整体及所有设备满足招标文件免费质保期要求（1年）的得1分，在此基础上整机免费质保期每增加1年加2分，本项最高得5分，提供承诺书加盖投标人公章。如设备质保期不一致按最低质保期计算。</w:t>
            </w: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6</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合计</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100</w:t>
            </w:r>
          </w:p>
        </w:tc>
      </w:tr>
    </w:tbl>
    <w:p>
      <w:pPr>
        <w:ind w:firstLine="480" w:firstLineChars="200"/>
        <w:rPr>
          <w:rFonts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rPr>
          <w:rFonts w:ascii="宋体" w:hAnsi="宋体" w:eastAsia="宋体" w:cs="宋体"/>
          <w:b/>
          <w:bCs/>
          <w:sz w:val="36"/>
          <w:szCs w:val="36"/>
        </w:rPr>
      </w:pPr>
      <w:r>
        <w:rPr>
          <w:rFonts w:ascii="宋体" w:hAnsi="宋体" w:eastAsia="宋体" w:cs="宋体"/>
          <w:b/>
          <w:bCs/>
          <w:sz w:val="36"/>
          <w:szCs w:val="36"/>
        </w:rPr>
        <w:br w:type="page"/>
      </w:r>
    </w:p>
    <w:p>
      <w:pPr>
        <w:pStyle w:val="2"/>
        <w:numPr>
          <w:ilvl w:val="0"/>
          <w:numId w:val="3"/>
        </w:numPr>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32587"/>
      <w:r>
        <w:rPr>
          <w:rFonts w:hint="eastAsia" w:ascii="宋体" w:hAnsi="宋体" w:eastAsia="宋体" w:cs="宋体"/>
          <w:b/>
          <w:bCs/>
          <w:sz w:val="32"/>
          <w:szCs w:val="32"/>
        </w:rPr>
        <w:t>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25485"/>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120614282"/>
      <w:bookmarkStart w:id="55" w:name="_Toc26554094"/>
      <w:bookmarkStart w:id="56" w:name="_Toc49090576"/>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955070"/>
      <w:bookmarkEnd w:id="59"/>
      <w:bookmarkStart w:id="60" w:name="_格式3__银行出具的资信证明"/>
      <w:bookmarkEnd w:id="60"/>
      <w:bookmarkStart w:id="61" w:name="_Hlt26671380"/>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p>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21</w:t>
    </w:r>
    <w:r>
      <w:rPr>
        <w:rFonts w:ascii="宋体" w:hAnsi="宋体"/>
      </w:rPr>
      <w:fldChar w:fldCharType="end"/>
    </w:r>
  </w:p>
  <w:p>
    <w:pPr>
      <w:pStyle w:val="16"/>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WY5YjNhYTNhZDUzOGQ3NmUxNjM4NDM1MzUxM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5647D"/>
    <w:rsid w:val="0016026B"/>
    <w:rsid w:val="00167738"/>
    <w:rsid w:val="00174C28"/>
    <w:rsid w:val="0018443B"/>
    <w:rsid w:val="001A049C"/>
    <w:rsid w:val="001B6A78"/>
    <w:rsid w:val="001C20DD"/>
    <w:rsid w:val="001C4B26"/>
    <w:rsid w:val="001D0768"/>
    <w:rsid w:val="001D3427"/>
    <w:rsid w:val="001E4020"/>
    <w:rsid w:val="001F4F63"/>
    <w:rsid w:val="0020432E"/>
    <w:rsid w:val="002070F5"/>
    <w:rsid w:val="00232127"/>
    <w:rsid w:val="002327D4"/>
    <w:rsid w:val="00272CB4"/>
    <w:rsid w:val="002D2055"/>
    <w:rsid w:val="002E26AA"/>
    <w:rsid w:val="002F6FC4"/>
    <w:rsid w:val="00300F88"/>
    <w:rsid w:val="00307A95"/>
    <w:rsid w:val="00314ED3"/>
    <w:rsid w:val="00323B43"/>
    <w:rsid w:val="00327947"/>
    <w:rsid w:val="00336E5A"/>
    <w:rsid w:val="0036460C"/>
    <w:rsid w:val="00380B99"/>
    <w:rsid w:val="0038270D"/>
    <w:rsid w:val="003B2DF7"/>
    <w:rsid w:val="003C1485"/>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259DE"/>
    <w:rsid w:val="0073525A"/>
    <w:rsid w:val="00747556"/>
    <w:rsid w:val="00781A34"/>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777AD"/>
    <w:rsid w:val="00985BBC"/>
    <w:rsid w:val="0099642C"/>
    <w:rsid w:val="009B4528"/>
    <w:rsid w:val="009D140B"/>
    <w:rsid w:val="009E1102"/>
    <w:rsid w:val="009E4FC4"/>
    <w:rsid w:val="009E5541"/>
    <w:rsid w:val="00A02CA7"/>
    <w:rsid w:val="00A3360F"/>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37BD"/>
    <w:rsid w:val="00BC757B"/>
    <w:rsid w:val="00BC7A5C"/>
    <w:rsid w:val="00BD2AED"/>
    <w:rsid w:val="00BD6A49"/>
    <w:rsid w:val="00BD77ED"/>
    <w:rsid w:val="00BE7284"/>
    <w:rsid w:val="00BF3F02"/>
    <w:rsid w:val="00C13584"/>
    <w:rsid w:val="00C17F47"/>
    <w:rsid w:val="00C30C20"/>
    <w:rsid w:val="00C40E65"/>
    <w:rsid w:val="00C541CB"/>
    <w:rsid w:val="00C55166"/>
    <w:rsid w:val="00C76558"/>
    <w:rsid w:val="00C85F20"/>
    <w:rsid w:val="00C86FD4"/>
    <w:rsid w:val="00D278D7"/>
    <w:rsid w:val="00D31D50"/>
    <w:rsid w:val="00D47FEE"/>
    <w:rsid w:val="00D53633"/>
    <w:rsid w:val="00D56CB6"/>
    <w:rsid w:val="00D61AE7"/>
    <w:rsid w:val="00D634CC"/>
    <w:rsid w:val="00D9005C"/>
    <w:rsid w:val="00DA1746"/>
    <w:rsid w:val="00DA4334"/>
    <w:rsid w:val="00DB5FD8"/>
    <w:rsid w:val="00DC5263"/>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C82B11"/>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42D4E"/>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401723"/>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B68EC"/>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0C21D2"/>
    <w:rsid w:val="48362D3C"/>
    <w:rsid w:val="48447773"/>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953C79"/>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004D5D"/>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unhideWhenUsed/>
    <w:qFormat/>
    <w:uiPriority w:val="0"/>
  </w:style>
  <w:style w:type="paragraph" w:styleId="8">
    <w:name w:val="Body Text"/>
    <w:basedOn w:val="1"/>
    <w:link w:val="50"/>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index 4"/>
    <w:basedOn w:val="1"/>
    <w:next w:val="1"/>
    <w:qFormat/>
    <w:uiPriority w:val="99"/>
    <w:pPr>
      <w:ind w:left="600" w:leftChars="600"/>
    </w:pPr>
    <w:rPr>
      <w:rFonts w:ascii="Calibri" w:hAnsi="Calibri"/>
    </w:rPr>
  </w:style>
  <w:style w:type="paragraph" w:styleId="13">
    <w:name w:val="toc 3"/>
    <w:basedOn w:val="1"/>
    <w:next w:val="1"/>
    <w:semiHidden/>
    <w:unhideWhenUsed/>
    <w:qFormat/>
    <w:uiPriority w:val="39"/>
    <w:pPr>
      <w:ind w:left="840" w:leftChars="400"/>
    </w:pPr>
  </w:style>
  <w:style w:type="paragraph" w:styleId="14">
    <w:name w:val="Plain Text"/>
    <w:basedOn w:val="1"/>
    <w:link w:val="45"/>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semiHidden/>
    <w:unhideWhenUsed/>
    <w:qFormat/>
    <w:uiPriority w:val="99"/>
    <w:pPr>
      <w:spacing w:after="0"/>
    </w:pPr>
    <w:rPr>
      <w:sz w:val="18"/>
      <w:szCs w:val="18"/>
    </w:rPr>
  </w:style>
  <w:style w:type="paragraph" w:styleId="16">
    <w:name w:val="footer"/>
    <w:basedOn w:val="1"/>
    <w:link w:val="32"/>
    <w:unhideWhenUsed/>
    <w:qFormat/>
    <w:uiPriority w:val="99"/>
    <w:pPr>
      <w:tabs>
        <w:tab w:val="center" w:pos="4153"/>
        <w:tab w:val="right" w:pos="8306"/>
      </w:tabs>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semiHidden/>
    <w:unhideWhenUsed/>
    <w:qFormat/>
    <w:uiPriority w:val="39"/>
    <w:pPr>
      <w:ind w:left="420" w:leftChars="200"/>
    </w:pPr>
  </w:style>
  <w:style w:type="paragraph" w:styleId="20">
    <w:name w:val="Title"/>
    <w:basedOn w:val="1"/>
    <w:next w:val="1"/>
    <w:link w:val="42"/>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semiHidden/>
    <w:unhideWhenUsed/>
    <w:qFormat/>
    <w:uiPriority w:val="99"/>
    <w:rPr>
      <w:b/>
      <w:bCs/>
    </w:rPr>
  </w:style>
  <w:style w:type="paragraph" w:styleId="22">
    <w:name w:val="Body Text First Indent 2"/>
    <w:basedOn w:val="9"/>
    <w:next w:val="1"/>
    <w:qFormat/>
    <w:uiPriority w:val="99"/>
    <w:pPr>
      <w:widowControl w:val="0"/>
      <w:ind w:firstLine="420" w:firstLineChars="200"/>
      <w:jc w:val="both"/>
    </w:pPr>
    <w:rPr>
      <w:rFonts w:ascii="Calibri" w:hAnsi="Calibri" w:cs="Calibri"/>
      <w:kern w:val="2"/>
      <w:sz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semiHidden/>
    <w:unhideWhenUsed/>
    <w:qFormat/>
    <w:uiPriority w:val="99"/>
    <w:rPr>
      <w:sz w:val="21"/>
      <w:szCs w:val="21"/>
    </w:rPr>
  </w:style>
  <w:style w:type="character" w:customStyle="1" w:styleId="29">
    <w:name w:val="标题 1 字符"/>
    <w:basedOn w:val="25"/>
    <w:link w:val="2"/>
    <w:qFormat/>
    <w:uiPriority w:val="9"/>
    <w:rPr>
      <w:rFonts w:ascii="楷体_GB2312" w:hAnsi="Times New Roman" w:eastAsia="楷体_GB2312" w:cs="Times New Roman"/>
      <w:kern w:val="2"/>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qFormat/>
    <w:uiPriority w:val="99"/>
    <w:rPr>
      <w:rFonts w:ascii="Tahoma" w:hAnsi="Tahoma"/>
      <w:sz w:val="18"/>
      <w:szCs w:val="18"/>
    </w:rPr>
  </w:style>
  <w:style w:type="character" w:customStyle="1" w:styleId="32">
    <w:name w:val="页脚 字符"/>
    <w:basedOn w:val="25"/>
    <w:link w:val="16"/>
    <w:qFormat/>
    <w:uiPriority w:val="99"/>
    <w:rPr>
      <w:rFonts w:ascii="Tahoma" w:hAnsi="Tahoma"/>
      <w:sz w:val="18"/>
      <w:szCs w:val="18"/>
    </w:rPr>
  </w:style>
  <w:style w:type="paragraph" w:customStyle="1" w:styleId="33">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qFormat/>
    <w:uiPriority w:val="0"/>
    <w:rPr>
      <w:rFonts w:ascii="Times New Roman" w:hAnsi="Times New Roman" w:eastAsia="宋体" w:cs="Times New Roman"/>
      <w:b/>
      <w:bCs/>
      <w:kern w:val="2"/>
      <w:sz w:val="32"/>
      <w:szCs w:val="32"/>
    </w:rPr>
  </w:style>
  <w:style w:type="character" w:customStyle="1" w:styleId="36">
    <w:name w:val="标题 4 字符"/>
    <w:basedOn w:val="25"/>
    <w:link w:val="6"/>
    <w:qFormat/>
    <w:uiPriority w:val="9"/>
    <w:rPr>
      <w:rFonts w:ascii="Arial" w:hAnsi="Arial" w:eastAsia="黑体" w:cs="Arial"/>
      <w:b/>
      <w:bCs/>
      <w:kern w:val="2"/>
      <w:sz w:val="28"/>
      <w:szCs w:val="28"/>
    </w:rPr>
  </w:style>
  <w:style w:type="character" w:customStyle="1" w:styleId="37">
    <w:name w:val="标题 Char1"/>
    <w:basedOn w:val="25"/>
    <w:qFormat/>
    <w:uiPriority w:val="0"/>
    <w:rPr>
      <w:rFonts w:ascii="Cambria" w:hAnsi="Cambria"/>
      <w:b/>
      <w:bCs/>
      <w:kern w:val="2"/>
      <w:sz w:val="32"/>
      <w:szCs w:val="32"/>
    </w:rPr>
  </w:style>
  <w:style w:type="character" w:customStyle="1" w:styleId="38">
    <w:name w:val="标题二 Char"/>
    <w:link w:val="39"/>
    <w:qFormat/>
    <w:uiPriority w:val="0"/>
    <w:rPr>
      <w:rFonts w:ascii="宋体" w:hAnsi="宋体" w:cs="Calibri"/>
      <w:b/>
      <w:color w:val="000000"/>
      <w:kern w:val="1"/>
      <w:sz w:val="28"/>
      <w:szCs w:val="28"/>
    </w:rPr>
  </w:style>
  <w:style w:type="paragraph" w:customStyle="1" w:styleId="39">
    <w:name w:val="标题二"/>
    <w:basedOn w:val="40"/>
    <w:link w:val="38"/>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qFormat/>
    <w:uiPriority w:val="34"/>
    <w:pPr>
      <w:ind w:firstLine="420" w:firstLineChars="200"/>
    </w:pPr>
  </w:style>
  <w:style w:type="character" w:customStyle="1" w:styleId="41">
    <w:name w:val="正文缩进 字符"/>
    <w:link w:val="5"/>
    <w:qFormat/>
    <w:uiPriority w:val="0"/>
    <w:rPr>
      <w:kern w:val="2"/>
      <w:sz w:val="21"/>
      <w:szCs w:val="21"/>
    </w:rPr>
  </w:style>
  <w:style w:type="character" w:customStyle="1" w:styleId="42">
    <w:name w:val="标题 字符"/>
    <w:basedOn w:val="25"/>
    <w:link w:val="20"/>
    <w:qFormat/>
    <w:uiPriority w:val="10"/>
    <w:rPr>
      <w:rFonts w:eastAsia="宋体" w:asciiTheme="majorHAnsi" w:hAnsiTheme="majorHAnsi" w:cstheme="majorBidi"/>
      <w:b/>
      <w:bCs/>
      <w:sz w:val="32"/>
      <w:szCs w:val="32"/>
    </w:rPr>
  </w:style>
  <w:style w:type="character" w:customStyle="1" w:styleId="43">
    <w:name w:val="font1"/>
    <w:qFormat/>
    <w:uiPriority w:val="0"/>
    <w:rPr>
      <w:color w:val="333333"/>
      <w:spacing w:val="450"/>
      <w:sz w:val="18"/>
      <w:szCs w:val="18"/>
      <w:u w:val="none"/>
    </w:rPr>
  </w:style>
  <w:style w:type="character" w:customStyle="1" w:styleId="44">
    <w:name w:val="纯文本 Char"/>
    <w:qFormat/>
    <w:uiPriority w:val="0"/>
    <w:rPr>
      <w:rFonts w:ascii="宋体" w:hAnsi="Courier New" w:cs="Courier New"/>
      <w:kern w:val="2"/>
      <w:sz w:val="21"/>
      <w:szCs w:val="21"/>
    </w:rPr>
  </w:style>
  <w:style w:type="character" w:customStyle="1" w:styleId="45">
    <w:name w:val="纯文本 字符"/>
    <w:basedOn w:val="25"/>
    <w:link w:val="14"/>
    <w:semiHidden/>
    <w:qFormat/>
    <w:uiPriority w:val="99"/>
    <w:rPr>
      <w:rFonts w:ascii="宋体" w:hAnsi="Courier New" w:eastAsia="宋体" w:cs="Courier New"/>
      <w:sz w:val="21"/>
      <w:szCs w:val="21"/>
    </w:rPr>
  </w:style>
  <w:style w:type="character" w:customStyle="1" w:styleId="46">
    <w:name w:val="正文文本 Char"/>
    <w:qFormat/>
    <w:uiPriority w:val="0"/>
    <w:rPr>
      <w:rFonts w:ascii="楷体_GB2312" w:hAnsi="Arial" w:eastAsia="楷体_GB2312"/>
      <w:kern w:val="2"/>
      <w:sz w:val="28"/>
      <w:szCs w:val="28"/>
    </w:rPr>
  </w:style>
  <w:style w:type="character" w:customStyle="1" w:styleId="47">
    <w:name w:val="列出段落 Char"/>
    <w:link w:val="48"/>
    <w:qFormat/>
    <w:locked/>
    <w:uiPriority w:val="34"/>
    <w:rPr>
      <w:rFonts w:ascii="Calibri" w:hAnsi="Calibri"/>
      <w:sz w:val="24"/>
      <w:szCs w:val="24"/>
      <w:lang w:eastAsia="en-US" w:bidi="en-US"/>
    </w:rPr>
  </w:style>
  <w:style w:type="paragraph" w:customStyle="1" w:styleId="48">
    <w:name w:val="列出段落11"/>
    <w:basedOn w:val="1"/>
    <w:link w:val="47"/>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semiHidden/>
    <w:qFormat/>
    <w:uiPriority w:val="99"/>
    <w:rPr>
      <w:rFonts w:ascii="Tahoma" w:hAnsi="Tahoma"/>
    </w:rPr>
  </w:style>
  <w:style w:type="character" w:customStyle="1" w:styleId="51">
    <w:name w:val="批注框文本 字符"/>
    <w:basedOn w:val="25"/>
    <w:link w:val="15"/>
    <w:semiHidden/>
    <w:qFormat/>
    <w:uiPriority w:val="99"/>
    <w:rPr>
      <w:rFonts w:ascii="Tahoma" w:hAnsi="Tahoma"/>
      <w:sz w:val="18"/>
      <w:szCs w:val="18"/>
    </w:rPr>
  </w:style>
  <w:style w:type="character" w:customStyle="1" w:styleId="52">
    <w:name w:val="NormalCharacter"/>
    <w:qFormat/>
    <w:uiPriority w:val="0"/>
    <w:rPr>
      <w:rFonts w:ascii="Times New Roman" w:hAnsi="Times New Roman" w:eastAsia="宋体" w:cs="Times New Roman"/>
      <w:kern w:val="2"/>
      <w:sz w:val="21"/>
      <w:szCs w:val="22"/>
      <w:lang w:val="en-US" w:eastAsia="zh-CN" w:bidi="ar-SA"/>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7E840-ECC4-4AE4-8BC8-3E27B80F43B1}">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15948</Words>
  <Characters>16996</Characters>
  <Lines>138</Lines>
  <Paragraphs>38</Paragraphs>
  <TotalTime>77</TotalTime>
  <ScaleCrop>false</ScaleCrop>
  <LinksUpToDate>false</LinksUpToDate>
  <CharactersWithSpaces>18408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何龙</cp:lastModifiedBy>
  <dcterms:modified xsi:type="dcterms:W3CDTF">2024-07-24T08:50:33Z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063FDA3A81D944C68D3C72A293B19D0A_13</vt:lpwstr>
  </property>
</Properties>
</file>