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0"/>
        <w:jc w:val="center"/>
        <w:rPr>
          <w:rFonts w:eastAsia="黑体"/>
          <w:b/>
          <w:bCs/>
          <w:color w:val="auto"/>
          <w:sz w:val="84"/>
        </w:rPr>
      </w:pPr>
      <w:r>
        <w:rPr>
          <w:color w:val="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3"/>
        <w:ind w:firstLine="0"/>
        <w:jc w:val="center"/>
        <w:rPr>
          <w:rFonts w:eastAsia="黑体"/>
          <w:b/>
          <w:bCs/>
          <w:color w:val="auto"/>
          <w:sz w:val="84"/>
        </w:rPr>
      </w:pPr>
    </w:p>
    <w:p>
      <w:pPr>
        <w:pStyle w:val="33"/>
        <w:ind w:firstLine="0"/>
        <w:jc w:val="center"/>
        <w:rPr>
          <w:rFonts w:ascii="微软雅黑" w:hAnsi="微软雅黑" w:eastAsia="微软雅黑" w:cs="微软雅黑"/>
          <w:b/>
          <w:bCs/>
          <w:color w:val="auto"/>
          <w:sz w:val="84"/>
        </w:rPr>
      </w:pPr>
      <w:r>
        <w:rPr>
          <w:rFonts w:hint="eastAsia" w:ascii="微软雅黑" w:hAnsi="微软雅黑" w:eastAsia="微软雅黑" w:cs="微软雅黑"/>
          <w:b/>
          <w:bCs/>
          <w:color w:val="auto"/>
          <w:sz w:val="96"/>
          <w:szCs w:val="28"/>
        </w:rPr>
        <w:t>招　标　文　件</w:t>
      </w:r>
    </w:p>
    <w:p>
      <w:pPr>
        <w:pStyle w:val="33"/>
        <w:ind w:firstLine="2401" w:firstLineChars="750"/>
        <w:rPr>
          <w:rFonts w:ascii="微软雅黑" w:hAnsi="微软雅黑" w:eastAsia="微软雅黑" w:cs="微软雅黑"/>
          <w:b/>
          <w:bCs/>
          <w:color w:val="auto"/>
          <w:sz w:val="32"/>
        </w:rPr>
      </w:pPr>
    </w:p>
    <w:p>
      <w:pPr>
        <w:pStyle w:val="33"/>
        <w:rPr>
          <w:rFonts w:ascii="微软雅黑" w:hAnsi="微软雅黑" w:eastAsia="微软雅黑" w:cs="微软雅黑"/>
          <w:b/>
          <w:bCs/>
          <w:color w:val="auto"/>
          <w:sz w:val="32"/>
        </w:rPr>
      </w:pPr>
    </w:p>
    <w:p>
      <w:pPr>
        <w:pStyle w:val="33"/>
        <w:rPr>
          <w:rFonts w:hint="default" w:ascii="微软雅黑" w:hAnsi="微软雅黑" w:eastAsia="微软雅黑" w:cs="微软雅黑"/>
          <w:b/>
          <w:bCs/>
          <w:color w:val="auto"/>
          <w:sz w:val="32"/>
          <w:u w:val="thick"/>
          <w:lang w:val="en-US" w:eastAsia="zh-CN"/>
        </w:rPr>
      </w:pPr>
      <w:r>
        <w:rPr>
          <w:rFonts w:hint="eastAsia" w:ascii="微软雅黑" w:hAnsi="微软雅黑" w:eastAsia="微软雅黑" w:cs="微软雅黑"/>
          <w:b/>
          <w:bCs/>
          <w:color w:val="auto"/>
          <w:sz w:val="32"/>
        </w:rPr>
        <w:t>项目名称：</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u w:val="thick"/>
          <w:lang w:val="en-US" w:eastAsia="zh-CN"/>
        </w:rPr>
        <w:t>南京医科大学</w:t>
      </w:r>
      <w:r>
        <w:rPr>
          <w:rFonts w:hint="eastAsia" w:ascii="微软雅黑" w:hAnsi="微软雅黑" w:eastAsia="微软雅黑" w:cs="微软雅黑"/>
          <w:b/>
          <w:bCs/>
          <w:color w:val="auto"/>
          <w:sz w:val="32"/>
          <w:u w:val="thick"/>
        </w:rPr>
        <w:t>江宁校区校园交通设施项目</w:t>
      </w:r>
      <w:r>
        <w:rPr>
          <w:rFonts w:hint="eastAsia" w:ascii="微软雅黑" w:hAnsi="微软雅黑" w:eastAsia="微软雅黑" w:cs="微软雅黑"/>
          <w:b/>
          <w:bCs/>
          <w:color w:val="auto"/>
          <w:sz w:val="32"/>
          <w:u w:val="thick"/>
          <w:lang w:val="en-US" w:eastAsia="zh-CN"/>
        </w:rPr>
        <w:t xml:space="preserve">     </w:t>
      </w:r>
    </w:p>
    <w:p>
      <w:pPr>
        <w:pStyle w:val="33"/>
        <w:ind w:firstLine="0"/>
        <w:rPr>
          <w:rFonts w:hint="eastAsia" w:ascii="微软雅黑" w:hAnsi="微软雅黑" w:eastAsia="微软雅黑" w:cs="微软雅黑"/>
          <w:b/>
          <w:bCs/>
          <w:color w:val="auto"/>
          <w:sz w:val="32"/>
          <w:u w:val="thick"/>
          <w:lang w:val="en-US" w:eastAsia="zh-CN"/>
        </w:rPr>
      </w:pPr>
      <w:r>
        <w:rPr>
          <w:rFonts w:hint="eastAsia" w:ascii="微软雅黑" w:hAnsi="微软雅黑" w:eastAsia="微软雅黑" w:cs="微软雅黑"/>
          <w:b/>
          <w:bCs/>
          <w:color w:val="auto"/>
          <w:sz w:val="32"/>
        </w:rPr>
        <w:t xml:space="preserve">     项目编号：</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u w:val="thick"/>
          <w:lang w:val="en-US" w:eastAsia="zh-CN"/>
        </w:rPr>
        <w:t>NJMUZB2052024001</w:t>
      </w: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二零二四年</w:t>
      </w:r>
      <w:r>
        <w:rPr>
          <w:rFonts w:hint="eastAsia" w:ascii="微软雅黑" w:hAnsi="微软雅黑" w:eastAsia="微软雅黑" w:cs="微软雅黑"/>
          <w:b/>
          <w:bCs/>
          <w:color w:val="auto"/>
          <w:sz w:val="32"/>
          <w:lang w:val="en-US" w:eastAsia="zh-CN"/>
        </w:rPr>
        <w:t>四</w:t>
      </w:r>
      <w:r>
        <w:rPr>
          <w:rFonts w:hint="eastAsia" w:ascii="微软雅黑" w:hAnsi="微软雅黑" w:eastAsia="微软雅黑" w:cs="微软雅黑"/>
          <w:b/>
          <w:bCs/>
          <w:color w:val="auto"/>
          <w:sz w:val="32"/>
        </w:rPr>
        <w:t>月</w:t>
      </w:r>
    </w:p>
    <w:p>
      <w:pPr>
        <w:pStyle w:val="33"/>
        <w:ind w:firstLine="0"/>
        <w:jc w:val="center"/>
        <w:rPr>
          <w:rFonts w:ascii="微软雅黑" w:hAnsi="微软雅黑" w:eastAsia="微软雅黑" w:cs="微软雅黑"/>
          <w:b/>
          <w:bCs/>
          <w:color w:val="auto"/>
          <w:sz w:val="32"/>
        </w:rPr>
      </w:pPr>
    </w:p>
    <w:p>
      <w:pPr>
        <w:pStyle w:val="33"/>
        <w:ind w:firstLine="0"/>
        <w:jc w:val="center"/>
        <w:rPr>
          <w:rFonts w:eastAsia="黑体"/>
          <w:b/>
          <w:bCs/>
          <w:color w:val="auto"/>
          <w:sz w:val="32"/>
        </w:rPr>
      </w:pPr>
      <w:bookmarkStart w:id="0" w:name="_Toc517190880"/>
      <w:bookmarkStart w:id="1" w:name="_Toc120614210"/>
      <w:bookmarkStart w:id="2" w:name="_Toc20823272"/>
      <w:bookmarkStart w:id="3" w:name="_Toc479757206"/>
      <w:bookmarkStart w:id="4" w:name="_Toc16938516"/>
      <w:bookmarkStart w:id="5" w:name="_Toc523127445"/>
      <w:bookmarkStart w:id="6" w:name="_Toc513029200"/>
      <w:r>
        <w:rPr>
          <w:rFonts w:hint="eastAsia" w:ascii="黑体" w:hAnsi="黑体" w:eastAsia="黑体"/>
          <w:b/>
          <w:color w:val="auto"/>
          <w:sz w:val="44"/>
          <w:szCs w:val="28"/>
        </w:rPr>
        <w:t>目  录</w:t>
      </w:r>
      <w:bookmarkEnd w:id="0"/>
    </w:p>
    <w:p>
      <w:pPr>
        <w:pStyle w:val="18"/>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pPr>
        <w:spacing w:line="480" w:lineRule="auto"/>
        <w:rPr>
          <w:rFonts w:ascii="仿宋_GB2312" w:hAnsi="Arial" w:eastAsia="仿宋_GB2312"/>
          <w:b/>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
    <w:p>
      <w:pPr>
        <w:pStyle w:val="2"/>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pPr>
        <w:rPr>
          <w:color w:val="auto"/>
        </w:rPr>
      </w:pPr>
      <w:bookmarkStart w:id="66" w:name="_GoBack"/>
      <w:bookmarkEnd w:id="66"/>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auto"/>
          <w:sz w:val="24"/>
          <w:szCs w:val="24"/>
        </w:rPr>
      </w:pPr>
      <w:bookmarkStart w:id="8" w:name="_Toc513029242"/>
      <w:bookmarkStart w:id="9" w:name="OLE_LINK1"/>
      <w:bookmarkStart w:id="10" w:name="_Toc120614211"/>
      <w:bookmarkStart w:id="11" w:name="_Toc20823314"/>
      <w:bookmarkStart w:id="12" w:name="_Toc479757207"/>
      <w:bookmarkStart w:id="13" w:name="_Toc16938558"/>
      <w:bookmarkStart w:id="14" w:name="_Toc120614221"/>
      <w:bookmarkStart w:id="15" w:name="_Toc444669970"/>
      <w:bookmarkStart w:id="16" w:name="OLE_LINK2"/>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 xml:space="preserve"> 江宁校区校园交通设施项目   </w:t>
      </w:r>
      <w:r>
        <w:rPr>
          <w:rFonts w:hint="eastAsia" w:ascii="宋体" w:hAnsi="宋体" w:eastAsia="宋体" w:cs="宋体"/>
          <w:color w:val="auto"/>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 南京医科大学江宁校区校园交通设施项目</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1.2项目编号：NJMUZB2052024001</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1.3项目预算：人民币 壹拾壹万伍仟元（¥11.5万）   </w:t>
      </w:r>
    </w:p>
    <w:p>
      <w:pPr>
        <w:spacing w:before="120" w:beforeLines="50" w:after="120" w:afterLines="50" w:line="360" w:lineRule="auto"/>
        <w:ind w:firstLine="480" w:firstLineChars="200"/>
        <w:rPr>
          <w:rFonts w:ascii="宋体" w:hAnsi="宋体" w:cs="宋体"/>
          <w:b/>
          <w:color w:val="auto"/>
          <w:sz w:val="24"/>
          <w:szCs w:val="24"/>
        </w:rPr>
      </w:pPr>
      <w:r>
        <w:rPr>
          <w:rFonts w:hint="eastAsia" w:ascii="宋体" w:hAnsi="宋体" w:eastAsia="宋体" w:cs="宋体"/>
          <w:color w:val="auto"/>
          <w:sz w:val="24"/>
          <w:szCs w:val="24"/>
        </w:rPr>
        <w:t xml:space="preserve">1.4最高总限价：11.5万元，投标报价超过最高限价的为无效投标。 </w:t>
      </w:r>
      <w:r>
        <w:rPr>
          <w:rFonts w:hint="eastAsia" w:ascii="宋体" w:hAnsi="宋体" w:eastAsia="宋体" w:cs="宋体"/>
          <w:color w:val="auto"/>
          <w:sz w:val="24"/>
          <w:szCs w:val="24"/>
        </w:rPr>
        <w:t xml:space="preserve">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2.1采购需求：（包括但不限于标的的名称、数量、简要技术需求或服务要求等）</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2.2合同履行期限：</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2.3本项目不接受联合体投标。</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rPr>
        <w:t>上一年度审计报告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w:t>
      </w:r>
      <w:r>
        <w:rPr>
          <w:rFonts w:hint="eastAsia" w:ascii="宋体" w:hAnsi="宋体" w:eastAsia="宋体" w:cs="宋体"/>
          <w:color w:val="auto"/>
          <w:sz w:val="24"/>
          <w:szCs w:val="24"/>
        </w:rPr>
        <w:t>2024年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15分</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5.2投标文件接收地点及开标地点：南京医科大学江宁校区德馨楼B201室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虞杨</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86867131</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南京市江宁区龙眠大道101号</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 xml:space="preserve">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关注“智慧南医”公众号，进入系统，选择“综合服务”——“校园开放日预约”——填写基本信息提交审核。</w:t>
      </w:r>
      <w:r>
        <w:rPr>
          <w:rFonts w:hint="eastAsia" w:ascii="宋体" w:hAnsi="宋体" w:eastAsia="宋体" w:cs="宋体"/>
          <w:color w:val="auto"/>
          <w:sz w:val="24"/>
          <w:szCs w:val="24"/>
        </w:rPr>
        <w:t>如下图：</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color w:val="auto"/>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color w:val="auto"/>
          <w:sz w:val="32"/>
          <w:szCs w:val="32"/>
        </w:rPr>
      </w:pPr>
      <w:bookmarkStart w:id="17" w:name="_Toc28299"/>
      <w:r>
        <w:rPr>
          <w:rFonts w:hint="eastAsia" w:asciiTheme="majorEastAsia" w:hAnsiTheme="majorEastAsia" w:eastAsiaTheme="majorEastAsia"/>
          <w:b/>
          <w:color w:val="auto"/>
          <w:sz w:val="32"/>
          <w:szCs w:val="32"/>
        </w:rPr>
        <w:t xml:space="preserve">第二章  </w:t>
      </w:r>
      <w:bookmarkStart w:id="18" w:name="_Toc513029202"/>
      <w:bookmarkStart w:id="19" w:name="_Toc120614213"/>
      <w:bookmarkStart w:id="20" w:name="_Toc16938518"/>
      <w:bookmarkStart w:id="21" w:name="_Toc20823274"/>
      <w:r>
        <w:rPr>
          <w:rFonts w:hint="eastAsia" w:asciiTheme="majorEastAsia" w:hAnsiTheme="majorEastAsia" w:eastAsiaTheme="majorEastAsia"/>
          <w:b/>
          <w:color w:val="auto"/>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color w:val="auto"/>
          <w:sz w:val="24"/>
          <w:szCs w:val="24"/>
          <w:lang w:val="zh-CN"/>
        </w:rPr>
      </w:pPr>
      <w:bookmarkStart w:id="22" w:name="_Toc120614214"/>
      <w:bookmarkStart w:id="23" w:name="_Toc16938519"/>
      <w:bookmarkStart w:id="24" w:name="_Toc513029203"/>
      <w:bookmarkStart w:id="25" w:name="_Toc20823275"/>
      <w:r>
        <w:rPr>
          <w:rFonts w:hint="eastAsia" w:ascii="宋体" w:hAnsi="宋体" w:eastAsia="宋体" w:cs="宋体"/>
          <w:b/>
          <w:bCs/>
          <w:color w:val="auto"/>
          <w:sz w:val="24"/>
          <w:szCs w:val="24"/>
          <w:lang w:val="zh-CN"/>
        </w:rPr>
        <w:t>一、总则</w:t>
      </w:r>
    </w:p>
    <w:p>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color w:val="auto"/>
          <w:sz w:val="24"/>
          <w:szCs w:val="24"/>
          <w:lang w:val="zh-CN"/>
        </w:rPr>
      </w:pPr>
      <w:bookmarkStart w:id="26" w:name="_Toc25367"/>
      <w:bookmarkStart w:id="27" w:name="_Toc14852"/>
      <w:r>
        <w:rPr>
          <w:rFonts w:hint="eastAsia" w:ascii="宋体" w:hAnsi="宋体" w:eastAsia="宋体" w:cs="宋体"/>
          <w:b/>
          <w:bCs/>
          <w:color w:val="auto"/>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color w:val="auto"/>
          <w:sz w:val="24"/>
          <w:szCs w:val="24"/>
          <w:lang w:val="zh-CN"/>
        </w:rPr>
      </w:pPr>
      <w:bookmarkStart w:id="28" w:name="_Toc30037"/>
      <w:bookmarkStart w:id="29" w:name="_Toc16293"/>
      <w:r>
        <w:rPr>
          <w:rFonts w:hint="eastAsia" w:ascii="宋体" w:hAnsi="宋体" w:eastAsia="宋体" w:cs="宋体"/>
          <w:b/>
          <w:color w:val="auto"/>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pPr>
        <w:spacing w:line="360" w:lineRule="auto"/>
        <w:ind w:firstLine="472" w:firstLineChars="196"/>
        <w:rPr>
          <w:rFonts w:ascii="宋体" w:hAnsi="宋体" w:eastAsia="宋体" w:cs="宋体"/>
          <w:b/>
          <w:color w:val="auto"/>
          <w:sz w:val="24"/>
          <w:szCs w:val="24"/>
          <w:lang w:val="zh-CN"/>
        </w:rPr>
      </w:pPr>
      <w:bookmarkStart w:id="30" w:name="_Toc29531"/>
      <w:bookmarkStart w:id="31" w:name="_Toc1785"/>
      <w:r>
        <w:rPr>
          <w:rFonts w:hint="eastAsia" w:ascii="宋体" w:hAnsi="宋体" w:eastAsia="宋体" w:cs="宋体"/>
          <w:b/>
          <w:color w:val="auto"/>
          <w:sz w:val="24"/>
          <w:szCs w:val="24"/>
          <w:lang w:val="zh-CN"/>
        </w:rPr>
        <w:t>三、投标</w:t>
      </w:r>
      <w:bookmarkEnd w:id="30"/>
      <w:bookmarkEnd w:id="31"/>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pPr>
        <w:spacing w:line="360" w:lineRule="auto"/>
        <w:ind w:firstLine="472" w:firstLineChars="196"/>
        <w:rPr>
          <w:rFonts w:ascii="宋体" w:hAnsi="宋体" w:eastAsia="宋体" w:cs="宋体"/>
          <w:b/>
          <w:color w:val="auto"/>
          <w:sz w:val="24"/>
          <w:szCs w:val="24"/>
          <w:lang w:val="zh-CN"/>
        </w:rPr>
      </w:pPr>
      <w:bookmarkStart w:id="32" w:name="_Toc21540"/>
      <w:bookmarkStart w:id="33" w:name="_Toc17243"/>
      <w:r>
        <w:rPr>
          <w:rFonts w:hint="eastAsia" w:ascii="宋体" w:hAnsi="宋体" w:eastAsia="宋体" w:cs="宋体"/>
          <w:b/>
          <w:color w:val="auto"/>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pPr>
        <w:pStyle w:val="33"/>
        <w:rPr>
          <w:rFonts w:ascii="宋体" w:hAnsi="宋体" w:cs="宋体"/>
          <w:b/>
          <w:color w:val="auto"/>
        </w:rPr>
      </w:pPr>
      <w:bookmarkStart w:id="34" w:name="_Toc16938553"/>
      <w:bookmarkStart w:id="35" w:name="_Toc20823309"/>
      <w:bookmarkStart w:id="36" w:name="_Toc513029237"/>
      <w:r>
        <w:rPr>
          <w:rFonts w:hint="eastAsia" w:ascii="宋体" w:hAnsi="宋体" w:cs="宋体"/>
          <w:b/>
          <w:color w:val="auto"/>
        </w:rPr>
        <w:t>21、样品</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color w:val="auto"/>
          <w:sz w:val="24"/>
          <w:szCs w:val="24"/>
          <w:lang w:val="zh-CN"/>
        </w:rPr>
      </w:pPr>
      <w:bookmarkStart w:id="37" w:name="_Toc5321"/>
      <w:bookmarkStart w:id="38" w:name="_Toc10016"/>
      <w:r>
        <w:rPr>
          <w:rFonts w:hint="eastAsia" w:ascii="宋体" w:hAnsi="宋体" w:eastAsia="宋体" w:cs="宋体"/>
          <w:b/>
          <w:color w:val="auto"/>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3"/>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color w:val="auto"/>
          <w:sz w:val="24"/>
          <w:szCs w:val="24"/>
          <w:lang w:val="zh-CN"/>
        </w:rPr>
      </w:pPr>
      <w:bookmarkStart w:id="39" w:name="_Toc3868"/>
      <w:bookmarkStart w:id="40" w:name="_Toc241"/>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39"/>
      <w:bookmarkEnd w:id="40"/>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pPr>
        <w:pStyle w:val="33"/>
        <w:rPr>
          <w:rFonts w:ascii="宋体" w:hAnsi="宋体" w:cs="宋体"/>
          <w:color w:val="auto"/>
          <w:lang w:val="zh-CN"/>
        </w:rPr>
      </w:pPr>
    </w:p>
    <w:p>
      <w:pPr>
        <w:pStyle w:val="33"/>
        <w:rPr>
          <w:rFonts w:ascii="宋体" w:hAnsi="宋体" w:cs="宋体"/>
          <w:color w:val="auto"/>
          <w:lang w:val="zh-CN"/>
        </w:rPr>
      </w:pPr>
    </w:p>
    <w:bookmarkEnd w:id="22"/>
    <w:bookmarkEnd w:id="23"/>
    <w:bookmarkEnd w:id="24"/>
    <w:bookmarkEnd w:id="25"/>
    <w:p>
      <w:pPr>
        <w:pStyle w:val="2"/>
        <w:pageBreakBefore/>
        <w:rPr>
          <w:rFonts w:hint="eastAsia" w:asciiTheme="majorEastAsia" w:hAnsiTheme="majorEastAsia" w:eastAsiaTheme="majorEastAsia"/>
          <w:b/>
          <w:color w:val="auto"/>
          <w:sz w:val="32"/>
          <w:szCs w:val="32"/>
        </w:rPr>
      </w:pPr>
      <w:bookmarkStart w:id="41" w:name="_Toc23761"/>
      <w:r>
        <w:rPr>
          <w:rFonts w:hint="eastAsia" w:asciiTheme="majorEastAsia" w:hAnsiTheme="majorEastAsia" w:eastAsiaTheme="majorEastAsia"/>
          <w:b/>
          <w:color w:val="auto"/>
          <w:sz w:val="32"/>
          <w:szCs w:val="32"/>
        </w:rPr>
        <w:t>第三章  项目需求</w:t>
      </w:r>
      <w:bookmarkEnd w:id="41"/>
    </w:p>
    <w:p>
      <w:pPr>
        <w:rPr>
          <w:rFonts w:hint="eastAsia"/>
          <w:color w:val="auto"/>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val="zh-CN"/>
        </w:rPr>
        <w:t>项目概况</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南京医科大学目前有固定车辆2500多辆，校园内车流量每天进出达3000车次左右，随着经济的快速发展，校园车辆越来越多，校内车辆乱停乱放、超速行驶等不良现象严重危害师生安全，目前江宁校区车辆主要出入口有3个大门，已经建成车牌识别车辆管理系统，校内、校外车辆均可通行。由于江宁校区校园道路较宽，车辆极易超速行驶，加之学生流量大，尤其在大活、公寓、餐厅附近道路更是人流量巨大，容易引发交通事故，因此在主干道路及重点路段设立测速点，一方面提醒驾驶员降低车速，另一方面对违规超速车辆可以进行有据处理。</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在江宁校区校园的主干道设立1个道路测速点，进行双向测速。一方面现场显示经过车辆的车牌号码、行驶速度；另一方面系统与校园安防监控中心机房的综合管理平台联网，对违章车辆进行统计、管理，便于今后与校门车牌识别门禁系统联网后可实现联动处理，对超速行驶的车辆进行黑名单处理：初次警示、二次警告、三次直接黑名单，拒绝出入。同时今后也可选配短信平台，对违章车辆车主发送超速短信，从而有效加强对校内行驶车辆的有效管控。</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二、系统的组成、架构</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道路测速显示系统由卡口前端子系统（包括采集和LED显示）、网络传输子系统和后端管理子系统组成。实现对通行车辆信息的采集、传输、处理、分析、反馈、显示以及集中管理。主要包括：测速摄像机、载波雷达测速仪、地感线圈、控制软件、显示屏等等。</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卡口前端子系统</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完成车辆综合信息的采集，包括车辆特征照片、车牌号码与车牌颜色等。并完成图片信息识别、数据缓存以及压缩上传等功能，主要由卡口抓拍摄像机、补光灯、雷达、终端服务器、外场工业交换机、光纤收发器、开关电源、防雷器等设备组成。</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硬件设备配置原则</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每1条车道配置1台卡口抓拍单元，用于采集行驶车辆的完整外形图片和实时数据处理；其中ISP成像控制、补光灯联动信号输出、车牌号码识别等关键技术均集成在卡口抓拍单元中；</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每个车道配置一台闪光灯作为辅助光源，确保抓拍图片能够清晰识别车牌号码和前排驾驶室人脸；</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每个卡点设置一台车辆检测处理器，用作车辆检测及线圈状态检测；</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每个车道设置一台雷达，用作车辆速度检测；</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每个卡点设置一台终端服务器，用作前端信息备份存储；</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每个卡点配置一个落地机柜，机箱安装在立杆的适当位置，机箱内安装配电设备、安装支架和线槽，并提供维护电源插座。</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网络传输子系统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负责系统组网，完成数据、图片的传输与交换。因道路测速系统的安全性需要，一般通过光纤链路组建专网，前端点位到中心采用6芯光纤。</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后端管理子系统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实现对辖区内相关数据的汇聚、处理、存储、应用、管理与共享，由中心管理平台和存储系统组成。中心管理平台由搭载平台软件模块的服务器组成，包括：管理服务器、应用服务器、Web服务器、图片服务器和数据库服务器等。</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反馈显示子系统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所有车辆信息通过传输到中心，中心服务器对相关数据的汇聚、处理、存储、并反馈到前端LED显示屏上，可将违章、及超速车辆在显示屏上显示出来。</w:t>
      </w:r>
    </w:p>
    <w:p>
      <w:pPr>
        <w:spacing w:line="360" w:lineRule="auto"/>
        <w:ind w:firstLine="480" w:firstLineChars="200"/>
        <w:jc w:val="both"/>
        <w:rPr>
          <w:rFonts w:hint="eastAsia" w:ascii="宋体" w:hAnsi="宋体" w:eastAsia="宋体" w:cs="宋体"/>
          <w:color w:val="auto"/>
          <w:sz w:val="24"/>
          <w:szCs w:val="24"/>
          <w:lang w:val="zh-CN"/>
        </w:rPr>
      </w:pP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三、系统的功能要求</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车辆捕获功能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通过视频检测方式实现车辆捕获功能，能对所有经过车辆进行捕获，除了能够捕获在车道上正常行驶的车辆外，还具备捕获跨线行驶及逆向行驶车辆的功能。在正常车速（5km/h～200km/h）范围内的监控区域规范行驶的车辆图像捕获准确率达95%以上。</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车辆速度检测功能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在结合各种提高测速精度辅助手段的基础上采用雷达测速方式,从根本上最大程度的解决了系统测速不准和出现异常速度的问题。</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当机动车速度小于100km/h时，道路实测误差不超过-6km/h～0km/h；当机动车速度大于或等于100km/h时，道路实测误差不超过机动车速度的-6%～0%。系统具备分车型分别设置标志限速和执法限速值的功能。</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车辆图像记录功能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能够准确捕获、记录通行车辆信息。记录的车辆信息除包含图像信息外，还包括文本信息，如日期、时间（精确到毫秒）、地点、方向、号牌号码、号牌颜色、车身颜色、车速等。车辆信息写入关联数据库，并将相关文本信息叠加到图片上。</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超速抓拍功能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每幅图片上叠加有交通违法日期、时间、地点、方向、图像取证设备编号、限速值、行驶速度值和超速比例等信息。</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取证数据满足《道路交通安全违法行为图像取证技术规范》(GA/T832-2009）的相关要求。</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智能补光功能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综合考虑了车辆前挡风玻璃对光线的反射特性、贴膜情况、环境光线照射情况，采用了特殊的滤光镜头、专门的成像控制策略和补光方式，同时安排了合理的设备布设方式，使得系统全天候对各类车型都能有效解决前挡风玻璃反光和强光直射等问题，确保车身、车牌都清晰可辨。</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黑名单管理功能（今后可扩展与校门车牌识别门禁系统联动、短信通知）</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新建的道路测速系统今后需与校园已有校门出入口车牌识别系统（北京蓝卡品牌）对接，实现对超速车辆及违停车辆等进行自动黑名单处理，并通过短信通知到车主。</w:t>
      </w:r>
    </w:p>
    <w:p>
      <w:pPr>
        <w:autoSpaceDE w:val="0"/>
        <w:autoSpaceDN w:val="0"/>
        <w:spacing w:line="360" w:lineRule="auto"/>
        <w:rPr>
          <w:rFonts w:hint="eastAsia" w:ascii="宋体" w:hAnsi="宋体" w:eastAsia="宋体" w:cs="宋体"/>
          <w:b/>
          <w:color w:val="auto"/>
          <w:sz w:val="24"/>
          <w:szCs w:val="24"/>
          <w:lang w:val="zh-CN"/>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四、技术参数要求及工作量清单</w:t>
      </w:r>
    </w:p>
    <w:tbl>
      <w:tblPr>
        <w:tblStyle w:val="23"/>
        <w:tblW w:w="9122" w:type="dxa"/>
        <w:jc w:val="center"/>
        <w:tblLayout w:type="autofit"/>
        <w:tblCellMar>
          <w:top w:w="0" w:type="dxa"/>
          <w:left w:w="108" w:type="dxa"/>
          <w:bottom w:w="0" w:type="dxa"/>
          <w:right w:w="108" w:type="dxa"/>
        </w:tblCellMar>
      </w:tblPr>
      <w:tblGrid>
        <w:gridCol w:w="500"/>
        <w:gridCol w:w="1060"/>
        <w:gridCol w:w="5420"/>
        <w:gridCol w:w="760"/>
        <w:gridCol w:w="740"/>
        <w:gridCol w:w="642"/>
      </w:tblGrid>
      <w:tr>
        <w:tblPrEx>
          <w:tblCellMar>
            <w:top w:w="0" w:type="dxa"/>
            <w:left w:w="108" w:type="dxa"/>
            <w:bottom w:w="0" w:type="dxa"/>
            <w:right w:w="108" w:type="dxa"/>
          </w:tblCellMar>
        </w:tblPrEx>
        <w:trPr>
          <w:trHeight w:val="510" w:hRule="atLeast"/>
          <w:jc w:val="center"/>
        </w:trPr>
        <w:tc>
          <w:tcPr>
            <w:tcW w:w="5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序号</w:t>
            </w:r>
          </w:p>
        </w:tc>
        <w:tc>
          <w:tcPr>
            <w:tcW w:w="1060"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b/>
                <w:bCs/>
                <w:color w:val="auto"/>
                <w:sz w:val="20"/>
                <w:szCs w:val="20"/>
              </w:rPr>
            </w:pPr>
            <w:r>
              <w:rPr>
                <w:rFonts w:hint="eastAsia" w:ascii="宋体" w:hAnsi="宋体" w:cs="宋体"/>
                <w:b/>
                <w:bCs/>
                <w:color w:val="auto"/>
                <w:sz w:val="20"/>
                <w:szCs w:val="20"/>
              </w:rPr>
              <w:t>设备名称</w:t>
            </w:r>
          </w:p>
        </w:tc>
        <w:tc>
          <w:tcPr>
            <w:tcW w:w="54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主要技术参数</w:t>
            </w:r>
          </w:p>
        </w:tc>
        <w:tc>
          <w:tcPr>
            <w:tcW w:w="7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数量</w:t>
            </w:r>
          </w:p>
        </w:tc>
        <w:tc>
          <w:tcPr>
            <w:tcW w:w="7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单位</w:t>
            </w:r>
          </w:p>
        </w:tc>
        <w:tc>
          <w:tcPr>
            <w:tcW w:w="64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备注</w:t>
            </w:r>
          </w:p>
        </w:tc>
      </w:tr>
      <w:tr>
        <w:tblPrEx>
          <w:tblCellMar>
            <w:top w:w="0" w:type="dxa"/>
            <w:left w:w="108" w:type="dxa"/>
            <w:bottom w:w="0" w:type="dxa"/>
            <w:right w:w="108" w:type="dxa"/>
          </w:tblCellMar>
        </w:tblPrEx>
        <w:trPr>
          <w:trHeight w:val="585" w:hRule="atLeast"/>
          <w:jc w:val="center"/>
        </w:trPr>
        <w:tc>
          <w:tcPr>
            <w:tcW w:w="912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宋体" w:hAnsi="宋体" w:cs="宋体"/>
                <w:b/>
                <w:bCs/>
                <w:color w:val="auto"/>
                <w:sz w:val="20"/>
                <w:szCs w:val="20"/>
              </w:rPr>
            </w:pPr>
            <w:r>
              <w:rPr>
                <w:rFonts w:hint="eastAsia" w:ascii="宋体" w:hAnsi="宋体" w:cs="宋体"/>
                <w:b/>
                <w:bCs/>
                <w:color w:val="auto"/>
                <w:sz w:val="20"/>
                <w:szCs w:val="20"/>
              </w:rPr>
              <w:t>一、测速管理平台</w:t>
            </w:r>
          </w:p>
        </w:tc>
      </w:tr>
      <w:tr>
        <w:tblPrEx>
          <w:tblCellMar>
            <w:top w:w="0" w:type="dxa"/>
            <w:left w:w="108" w:type="dxa"/>
            <w:bottom w:w="0" w:type="dxa"/>
            <w:right w:w="108" w:type="dxa"/>
          </w:tblCellMar>
        </w:tblPrEx>
        <w:trPr>
          <w:trHeight w:val="217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测速系统管理模块</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1.软件须符合GB/T28181国家标准，软件的功能应满足技术功能要求。</w:t>
            </w:r>
          </w:p>
          <w:p>
            <w:pPr>
              <w:rPr>
                <w:rFonts w:ascii="宋体" w:hAnsi="宋体" w:cs="宋体"/>
                <w:b/>
                <w:bCs/>
                <w:color w:val="auto"/>
                <w:sz w:val="20"/>
                <w:szCs w:val="20"/>
              </w:rPr>
            </w:pPr>
            <w:r>
              <w:rPr>
                <w:rFonts w:hint="eastAsia" w:ascii="宋体" w:hAnsi="宋体" w:cs="宋体"/>
                <w:color w:val="auto"/>
                <w:sz w:val="20"/>
                <w:szCs w:val="20"/>
              </w:rPr>
              <w:t>2.车辆号牌准确识别率白天识别准确率≥97%，晚上识别准确率≥87%。接收来自前端数据采集的数据并对其数据进行处理，处理后的信息和图片记录保存到数据库服务器平台，在原平台增加测速系统管理模块</w:t>
            </w:r>
            <w:r>
              <w:rPr>
                <w:rFonts w:hint="eastAsia" w:ascii="宋体" w:hAnsi="宋体" w:cs="宋体"/>
                <w:b/>
                <w:bCs/>
                <w:color w:val="auto"/>
                <w:sz w:val="20"/>
                <w:szCs w:val="20"/>
              </w:rPr>
              <w:t>。</w:t>
            </w:r>
          </w:p>
          <w:p>
            <w:pPr>
              <w:rPr>
                <w:rFonts w:ascii="宋体" w:hAnsi="宋体" w:cs="宋体"/>
                <w:color w:val="auto"/>
                <w:sz w:val="20"/>
                <w:szCs w:val="20"/>
              </w:rPr>
            </w:pPr>
            <w:r>
              <w:rPr>
                <w:rFonts w:hint="eastAsia" w:ascii="宋体" w:hAnsi="宋体" w:cs="宋体"/>
                <w:color w:val="auto"/>
                <w:sz w:val="20"/>
                <w:szCs w:val="20"/>
              </w:rPr>
              <w:t>★系统需无缝对接学校现有校园综合安防管理平台，并提供对接承诺函，加盖投标人公章。</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84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管理电脑</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酷睿I7 i7-8700,内存容量16GB,硬盘1TB,独立显卡显存2GB,DVD-ROM,千兆网卡，23.6”液晶显示器</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汇集交换机</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24口1000M电口，4个SFP光口</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30" w:hRule="atLeast"/>
          <w:jc w:val="center"/>
        </w:trPr>
        <w:tc>
          <w:tcPr>
            <w:tcW w:w="91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auto"/>
                <w:sz w:val="24"/>
              </w:rPr>
            </w:pPr>
            <w:r>
              <w:rPr>
                <w:rFonts w:hint="eastAsia" w:ascii="宋体" w:hAnsi="宋体" w:cs="宋体"/>
                <w:b/>
                <w:bCs/>
                <w:color w:val="auto"/>
                <w:sz w:val="24"/>
              </w:rPr>
              <w:t>二、道路测速系统前端</w:t>
            </w:r>
          </w:p>
        </w:tc>
      </w:tr>
      <w:tr>
        <w:tblPrEx>
          <w:tblCellMar>
            <w:top w:w="0" w:type="dxa"/>
            <w:left w:w="108" w:type="dxa"/>
            <w:bottom w:w="0" w:type="dxa"/>
            <w:right w:w="108" w:type="dxa"/>
          </w:tblCellMar>
        </w:tblPrEx>
        <w:trPr>
          <w:trHeight w:val="112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测速一体化摄像机（含雷达）</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 xml:space="preserve">包含高清一体化嵌入式摄像机、高清镜头、室外防护罩、相机内置网络信号防雷器、电源适配器等 </w:t>
            </w:r>
          </w:p>
          <w:p>
            <w:pPr>
              <w:rPr>
                <w:rFonts w:ascii="宋体" w:hAnsi="宋体" w:cs="宋体"/>
                <w:color w:val="auto"/>
                <w:sz w:val="20"/>
                <w:szCs w:val="20"/>
              </w:rPr>
            </w:pPr>
            <w:r>
              <w:rPr>
                <w:rFonts w:hint="eastAsia" w:ascii="宋体" w:hAnsi="宋体" w:cs="宋体"/>
                <w:color w:val="auto"/>
                <w:sz w:val="20"/>
                <w:szCs w:val="20"/>
              </w:rPr>
              <w:t>1.图像传感器：采用不低于1英寸700万像素彩色逐行扫描CCD；</w:t>
            </w:r>
          </w:p>
          <w:p>
            <w:pPr>
              <w:rPr>
                <w:rFonts w:ascii="宋体" w:hAnsi="宋体" w:cs="宋体"/>
                <w:color w:val="auto"/>
                <w:sz w:val="20"/>
                <w:szCs w:val="20"/>
              </w:rPr>
            </w:pPr>
            <w:r>
              <w:rPr>
                <w:rFonts w:hint="eastAsia" w:ascii="宋体" w:hAnsi="宋体" w:cs="宋体"/>
                <w:color w:val="auto"/>
                <w:sz w:val="20"/>
                <w:szCs w:val="20"/>
              </w:rPr>
              <w:t>2.最大图像尺寸：≥3392×2008像素；视频帧率：在1～25fps；</w:t>
            </w:r>
          </w:p>
          <w:p>
            <w:pPr>
              <w:rPr>
                <w:rFonts w:ascii="宋体" w:hAnsi="宋体" w:cs="宋体"/>
                <w:color w:val="auto"/>
                <w:sz w:val="20"/>
                <w:szCs w:val="20"/>
              </w:rPr>
            </w:pPr>
            <w:r>
              <w:rPr>
                <w:rFonts w:hint="eastAsia" w:ascii="宋体" w:hAnsi="宋体" w:cs="宋体"/>
                <w:color w:val="auto"/>
                <w:sz w:val="20"/>
                <w:szCs w:val="20"/>
              </w:rPr>
              <w:t>3.视频压缩支持H.265、H.264、MPEG4 ；</w:t>
            </w:r>
          </w:p>
          <w:p>
            <w:pPr>
              <w:rPr>
                <w:rFonts w:ascii="宋体" w:hAnsi="宋体" w:cs="宋体"/>
                <w:color w:val="auto"/>
                <w:sz w:val="20"/>
                <w:szCs w:val="20"/>
              </w:rPr>
            </w:pPr>
            <w:r>
              <w:rPr>
                <w:rFonts w:hint="eastAsia" w:ascii="宋体" w:hAnsi="宋体" w:cs="宋体"/>
                <w:color w:val="auto"/>
                <w:sz w:val="20"/>
                <w:szCs w:val="20"/>
              </w:rPr>
              <w:t>4.支持视场倾斜情况下的车辆特征识别，包括车牌、车身颜色、车型、车辆子品牌等 ；</w:t>
            </w:r>
          </w:p>
          <w:p>
            <w:pPr>
              <w:rPr>
                <w:rFonts w:ascii="宋体" w:hAnsi="宋体" w:cs="宋体"/>
                <w:color w:val="auto"/>
                <w:sz w:val="20"/>
                <w:szCs w:val="20"/>
              </w:rPr>
            </w:pPr>
            <w:r>
              <w:rPr>
                <w:rFonts w:hint="eastAsia" w:ascii="宋体" w:hAnsi="宋体" w:cs="宋体"/>
                <w:color w:val="auto"/>
                <w:sz w:val="20"/>
                <w:szCs w:val="20"/>
              </w:rPr>
              <w:t xml:space="preserve">5.电源电压在AC55V~310V的范围内变化时，设备能正常工作。 </w:t>
            </w:r>
          </w:p>
          <w:p>
            <w:pPr>
              <w:rPr>
                <w:rFonts w:ascii="宋体" w:hAnsi="宋体" w:cs="宋体"/>
                <w:color w:val="auto"/>
                <w:sz w:val="20"/>
                <w:szCs w:val="20"/>
              </w:rPr>
            </w:pPr>
            <w:r>
              <w:rPr>
                <w:rFonts w:hint="eastAsia" w:ascii="宋体" w:hAnsi="宋体" w:cs="宋体"/>
                <w:color w:val="auto"/>
                <w:sz w:val="20"/>
                <w:szCs w:val="20"/>
              </w:rPr>
              <w:t xml:space="preserve">6.护罩玻璃透光率≥99% </w:t>
            </w:r>
          </w:p>
          <w:p>
            <w:pPr>
              <w:rPr>
                <w:rFonts w:ascii="宋体" w:hAnsi="宋体" w:cs="宋体"/>
                <w:color w:val="auto"/>
                <w:sz w:val="20"/>
                <w:szCs w:val="20"/>
              </w:rPr>
            </w:pPr>
            <w:r>
              <w:rPr>
                <w:rFonts w:hint="eastAsia" w:ascii="宋体" w:hAnsi="宋体" w:cs="宋体"/>
                <w:color w:val="auto"/>
                <w:sz w:val="20"/>
                <w:szCs w:val="20"/>
              </w:rPr>
              <w:t xml:space="preserve">7.支持新能源车牌识别功能 </w:t>
            </w:r>
          </w:p>
          <w:p>
            <w:pPr>
              <w:rPr>
                <w:rFonts w:ascii="宋体" w:hAnsi="宋体" w:cs="宋体"/>
                <w:color w:val="auto"/>
                <w:sz w:val="20"/>
                <w:szCs w:val="20"/>
              </w:rPr>
            </w:pPr>
            <w:r>
              <w:rPr>
                <w:rFonts w:hint="eastAsia" w:ascii="宋体" w:hAnsi="宋体" w:cs="宋体"/>
                <w:color w:val="auto"/>
                <w:sz w:val="20"/>
                <w:szCs w:val="20"/>
              </w:rPr>
              <w:t>8.</w:t>
            </w:r>
            <w:r>
              <w:rPr>
                <w:rFonts w:hint="eastAsia" w:ascii="微软雅黑" w:hAnsi="微软雅黑" w:cs="微软雅黑"/>
                <w:color w:val="auto"/>
                <w:spacing w:val="6"/>
                <w:sz w:val="21"/>
                <w:szCs w:val="21"/>
              </w:rPr>
              <w:t xml:space="preserve"> ▲</w:t>
            </w:r>
            <w:r>
              <w:rPr>
                <w:rFonts w:hint="eastAsia" w:ascii="宋体" w:hAnsi="宋体" w:cs="宋体"/>
                <w:color w:val="auto"/>
                <w:sz w:val="20"/>
                <w:szCs w:val="20"/>
              </w:rPr>
              <w:t xml:space="preserve">支持红外模式下的车牌识别功能，识别率≥99% </w:t>
            </w:r>
          </w:p>
          <w:p>
            <w:pPr>
              <w:rPr>
                <w:rFonts w:ascii="宋体" w:hAnsi="宋体" w:cs="宋体"/>
                <w:color w:val="auto"/>
                <w:sz w:val="20"/>
                <w:szCs w:val="20"/>
              </w:rPr>
            </w:pPr>
            <w:r>
              <w:rPr>
                <w:rFonts w:hint="eastAsia" w:ascii="宋体" w:hAnsi="宋体" w:cs="宋体"/>
                <w:color w:val="auto"/>
                <w:sz w:val="20"/>
                <w:szCs w:val="20"/>
              </w:rPr>
              <w:t xml:space="preserve">9.可支持TCP/IP，HTTP、802.1x等网络协议 </w:t>
            </w:r>
          </w:p>
          <w:p>
            <w:pPr>
              <w:rPr>
                <w:rFonts w:ascii="宋体" w:hAnsi="宋体" w:cs="宋体"/>
                <w:color w:val="auto"/>
                <w:sz w:val="20"/>
                <w:szCs w:val="20"/>
              </w:rPr>
            </w:pPr>
            <w:r>
              <w:rPr>
                <w:rFonts w:hint="eastAsia" w:ascii="宋体" w:hAnsi="宋体" w:cs="宋体"/>
                <w:color w:val="auto"/>
                <w:sz w:val="20"/>
                <w:szCs w:val="20"/>
              </w:rPr>
              <w:t xml:space="preserve">10.支持Smart264功能，开启该功能后，码流可降低至1/3 </w:t>
            </w:r>
          </w:p>
          <w:p>
            <w:pPr>
              <w:rPr>
                <w:rFonts w:ascii="宋体" w:hAnsi="宋体" w:cs="宋体"/>
                <w:color w:val="auto"/>
                <w:sz w:val="20"/>
                <w:szCs w:val="20"/>
              </w:rPr>
            </w:pPr>
            <w:r>
              <w:rPr>
                <w:rFonts w:hint="eastAsia" w:ascii="宋体" w:hAnsi="宋体" w:cs="宋体"/>
                <w:color w:val="auto"/>
                <w:sz w:val="20"/>
                <w:szCs w:val="20"/>
              </w:rPr>
              <w:t xml:space="preserve">11.支持车牌宽度范围从80*25到1200*380像素，倾斜角度范围从0到40度的车牌识别 </w:t>
            </w:r>
          </w:p>
          <w:p>
            <w:pPr>
              <w:rPr>
                <w:rFonts w:ascii="宋体" w:hAnsi="宋体" w:cs="宋体"/>
                <w:color w:val="auto"/>
                <w:sz w:val="20"/>
                <w:szCs w:val="20"/>
              </w:rPr>
            </w:pPr>
            <w:r>
              <w:rPr>
                <w:rFonts w:hint="eastAsia" w:ascii="宋体" w:hAnsi="宋体" w:cs="宋体"/>
                <w:color w:val="auto"/>
                <w:sz w:val="20"/>
                <w:szCs w:val="20"/>
              </w:rPr>
              <w:t xml:space="preserve">12.支持主码流同时输出不少于30路3392×2008、2Mbps的25帧/s图像以提供客户端浏览 </w:t>
            </w:r>
          </w:p>
          <w:p>
            <w:pPr>
              <w:rPr>
                <w:rFonts w:ascii="宋体" w:hAnsi="宋体" w:cs="宋体"/>
                <w:color w:val="auto"/>
                <w:sz w:val="20"/>
                <w:szCs w:val="20"/>
              </w:rPr>
            </w:pPr>
            <w:r>
              <w:rPr>
                <w:rFonts w:hint="eastAsia" w:ascii="宋体" w:hAnsi="宋体" w:cs="宋体"/>
                <w:color w:val="auto"/>
                <w:sz w:val="20"/>
                <w:szCs w:val="20"/>
              </w:rPr>
              <w:t xml:space="preserve">13.支持机动车、二轮车、三轮车和行人自动区分，区分准确率≥92% </w:t>
            </w:r>
          </w:p>
          <w:p>
            <w:pPr>
              <w:rPr>
                <w:rFonts w:ascii="宋体" w:hAnsi="宋体" w:cs="宋体"/>
                <w:color w:val="auto"/>
                <w:sz w:val="20"/>
                <w:szCs w:val="20"/>
              </w:rPr>
            </w:pPr>
            <w:r>
              <w:rPr>
                <w:rFonts w:hint="eastAsia" w:ascii="宋体" w:hAnsi="宋体" w:cs="宋体"/>
                <w:color w:val="auto"/>
                <w:sz w:val="20"/>
                <w:szCs w:val="20"/>
              </w:rPr>
              <w:t>14.</w:t>
            </w:r>
            <w:r>
              <w:rPr>
                <w:rFonts w:hint="eastAsia"/>
                <w:color w:val="auto"/>
              </w:rPr>
              <w:t xml:space="preserve"> </w:t>
            </w:r>
            <w:r>
              <w:rPr>
                <w:rFonts w:hint="eastAsia" w:ascii="宋体" w:hAnsi="宋体" w:cs="宋体"/>
                <w:color w:val="auto"/>
                <w:sz w:val="20"/>
                <w:szCs w:val="20"/>
              </w:rPr>
              <w:t xml:space="preserve">▲支持二轮车和行人捕获，白天和晚上的捕获率均≥99% </w:t>
            </w:r>
          </w:p>
          <w:p>
            <w:pPr>
              <w:rPr>
                <w:rFonts w:ascii="宋体" w:hAnsi="宋体" w:cs="宋体"/>
                <w:color w:val="auto"/>
                <w:sz w:val="20"/>
                <w:szCs w:val="20"/>
              </w:rPr>
            </w:pPr>
            <w:r>
              <w:rPr>
                <w:rFonts w:hint="eastAsia" w:ascii="宋体" w:hAnsi="宋体" w:cs="宋体"/>
                <w:color w:val="auto"/>
                <w:sz w:val="20"/>
                <w:szCs w:val="20"/>
              </w:rPr>
              <w:t xml:space="preserve">15.支持前车窗是否有摆件物检测功能 </w:t>
            </w:r>
          </w:p>
          <w:p>
            <w:pPr>
              <w:rPr>
                <w:rFonts w:ascii="宋体" w:hAnsi="宋体" w:cs="宋体"/>
                <w:color w:val="auto"/>
                <w:sz w:val="20"/>
                <w:szCs w:val="20"/>
              </w:rPr>
            </w:pPr>
            <w:r>
              <w:rPr>
                <w:rFonts w:hint="eastAsia" w:ascii="宋体" w:hAnsi="宋体" w:cs="宋体"/>
                <w:color w:val="auto"/>
                <w:sz w:val="20"/>
                <w:szCs w:val="20"/>
              </w:rPr>
              <w:t xml:space="preserve">16.支持远光灯开启检测功能 </w:t>
            </w:r>
          </w:p>
          <w:p>
            <w:pPr>
              <w:rPr>
                <w:rFonts w:ascii="宋体" w:hAnsi="宋体" w:cs="宋体"/>
                <w:color w:val="auto"/>
                <w:sz w:val="20"/>
                <w:szCs w:val="20"/>
              </w:rPr>
            </w:pPr>
            <w:r>
              <w:rPr>
                <w:rFonts w:hint="eastAsia" w:ascii="宋体" w:hAnsi="宋体" w:cs="宋体"/>
                <w:color w:val="auto"/>
                <w:sz w:val="20"/>
                <w:szCs w:val="20"/>
              </w:rPr>
              <w:t xml:space="preserve">19.支持遮阳板检测功能，主驾驶检出率≥97%，副驾驶检出率≥92% </w:t>
            </w:r>
          </w:p>
          <w:p>
            <w:pPr>
              <w:rPr>
                <w:rFonts w:ascii="宋体" w:hAnsi="宋体" w:cs="宋体"/>
                <w:color w:val="auto"/>
                <w:sz w:val="20"/>
                <w:szCs w:val="20"/>
              </w:rPr>
            </w:pPr>
            <w:r>
              <w:rPr>
                <w:rFonts w:hint="eastAsia" w:ascii="宋体" w:hAnsi="宋体" w:cs="宋体"/>
                <w:color w:val="auto"/>
                <w:sz w:val="20"/>
                <w:szCs w:val="20"/>
              </w:rPr>
              <w:t xml:space="preserve">20.支持未系安全带检测功能，驾驶人未系安全带识别准确率≥98%，系安全带误检率≤5% </w:t>
            </w:r>
          </w:p>
          <w:p>
            <w:pPr>
              <w:rPr>
                <w:rFonts w:ascii="宋体" w:hAnsi="宋体" w:cs="宋体"/>
                <w:color w:val="auto"/>
                <w:sz w:val="20"/>
                <w:szCs w:val="20"/>
              </w:rPr>
            </w:pPr>
            <w:r>
              <w:rPr>
                <w:rFonts w:hint="eastAsia" w:ascii="宋体" w:hAnsi="宋体" w:cs="宋体"/>
                <w:color w:val="auto"/>
                <w:sz w:val="20"/>
                <w:szCs w:val="20"/>
              </w:rPr>
              <w:t>产品参数提供公安部型式检验报告证明</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95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补光灯</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【暖光】【28颗】LED常亮灯</w:t>
            </w:r>
          </w:p>
          <w:p>
            <w:pPr>
              <w:rPr>
                <w:rFonts w:ascii="宋体" w:hAnsi="宋体" w:cs="宋体"/>
                <w:color w:val="auto"/>
                <w:sz w:val="20"/>
                <w:szCs w:val="20"/>
              </w:rPr>
            </w:pPr>
            <w:r>
              <w:rPr>
                <w:rFonts w:hint="eastAsia" w:ascii="宋体" w:hAnsi="宋体" w:cs="宋体"/>
                <w:color w:val="auto"/>
                <w:sz w:val="20"/>
                <w:szCs w:val="20"/>
              </w:rPr>
              <w:t>发光角度：40°</w:t>
            </w:r>
          </w:p>
          <w:p>
            <w:pPr>
              <w:rPr>
                <w:rFonts w:ascii="宋体" w:hAnsi="宋体" w:cs="宋体"/>
                <w:color w:val="auto"/>
                <w:sz w:val="20"/>
                <w:szCs w:val="20"/>
              </w:rPr>
            </w:pPr>
            <w:r>
              <w:rPr>
                <w:rFonts w:hint="eastAsia" w:ascii="宋体" w:hAnsi="宋体" w:cs="宋体"/>
                <w:color w:val="auto"/>
                <w:sz w:val="20"/>
                <w:szCs w:val="20"/>
              </w:rPr>
              <w:t>最佳补光距离：16米～25米</w:t>
            </w:r>
          </w:p>
          <w:p>
            <w:pPr>
              <w:rPr>
                <w:rFonts w:ascii="宋体" w:hAnsi="宋体" w:cs="宋体"/>
                <w:color w:val="auto"/>
                <w:sz w:val="20"/>
                <w:szCs w:val="20"/>
              </w:rPr>
            </w:pPr>
            <w:r>
              <w:rPr>
                <w:rFonts w:hint="eastAsia" w:ascii="宋体" w:hAnsi="宋体" w:cs="宋体"/>
                <w:color w:val="auto"/>
                <w:sz w:val="20"/>
                <w:szCs w:val="20"/>
              </w:rPr>
              <w:t>响应时间：≤20us</w:t>
            </w:r>
          </w:p>
          <w:p>
            <w:pPr>
              <w:rPr>
                <w:rFonts w:ascii="宋体" w:hAnsi="宋体" w:cs="宋体"/>
                <w:color w:val="auto"/>
                <w:sz w:val="20"/>
                <w:szCs w:val="20"/>
              </w:rPr>
            </w:pPr>
            <w:r>
              <w:rPr>
                <w:rFonts w:hint="eastAsia" w:ascii="宋体" w:hAnsi="宋体" w:cs="宋体"/>
                <w:color w:val="auto"/>
                <w:sz w:val="20"/>
                <w:szCs w:val="20"/>
              </w:rPr>
              <w:t xml:space="preserve">日夜功能：支持环境亮度检测，低照度下自动开启 </w:t>
            </w:r>
          </w:p>
          <w:p>
            <w:pPr>
              <w:rPr>
                <w:rFonts w:ascii="宋体" w:hAnsi="宋体" w:cs="宋体"/>
                <w:color w:val="auto"/>
                <w:sz w:val="20"/>
                <w:szCs w:val="20"/>
              </w:rPr>
            </w:pPr>
            <w:r>
              <w:rPr>
                <w:rFonts w:hint="eastAsia" w:ascii="宋体" w:hAnsi="宋体" w:cs="宋体"/>
                <w:color w:val="auto"/>
                <w:sz w:val="20"/>
                <w:szCs w:val="20"/>
              </w:rPr>
              <w:t>亮度控制：两档亮度控制</w:t>
            </w:r>
          </w:p>
          <w:p>
            <w:pPr>
              <w:rPr>
                <w:rFonts w:ascii="宋体" w:hAnsi="宋体" w:cs="宋体"/>
                <w:color w:val="auto"/>
                <w:sz w:val="20"/>
                <w:szCs w:val="20"/>
              </w:rPr>
            </w:pPr>
            <w:r>
              <w:rPr>
                <w:rFonts w:hint="eastAsia" w:ascii="宋体" w:hAnsi="宋体" w:cs="宋体"/>
                <w:color w:val="auto"/>
                <w:sz w:val="20"/>
                <w:szCs w:val="20"/>
              </w:rPr>
              <w:t>远程控制：可通过控制线实现远程开启补光灯</w:t>
            </w:r>
          </w:p>
          <w:p>
            <w:pPr>
              <w:rPr>
                <w:rFonts w:ascii="宋体" w:hAnsi="宋体" w:cs="宋体"/>
                <w:color w:val="auto"/>
                <w:sz w:val="20"/>
                <w:szCs w:val="20"/>
              </w:rPr>
            </w:pPr>
            <w:r>
              <w:rPr>
                <w:rFonts w:hint="eastAsia" w:ascii="宋体" w:hAnsi="宋体" w:cs="宋体"/>
                <w:color w:val="auto"/>
                <w:sz w:val="20"/>
                <w:szCs w:val="20"/>
              </w:rPr>
              <w:t>补光灯故障检测信号输出：当灯处于开启模式时，补光灯输出电流过大或过小时，故障输出端口输出高电压（典型值5V） 【可选配】</w:t>
            </w:r>
          </w:p>
          <w:p>
            <w:pPr>
              <w:rPr>
                <w:rFonts w:ascii="宋体" w:hAnsi="宋体" w:cs="宋体"/>
                <w:color w:val="auto"/>
                <w:sz w:val="20"/>
                <w:szCs w:val="20"/>
              </w:rPr>
            </w:pPr>
            <w:r>
              <w:rPr>
                <w:rFonts w:hint="eastAsia" w:ascii="宋体" w:hAnsi="宋体" w:cs="宋体"/>
                <w:color w:val="auto"/>
                <w:sz w:val="20"/>
                <w:szCs w:val="20"/>
              </w:rPr>
              <w:t>设计寿命：≥50000小时</w:t>
            </w:r>
          </w:p>
          <w:p>
            <w:pPr>
              <w:rPr>
                <w:rFonts w:ascii="宋体" w:hAnsi="宋体" w:cs="宋体"/>
                <w:color w:val="auto"/>
                <w:sz w:val="20"/>
                <w:szCs w:val="20"/>
              </w:rPr>
            </w:pPr>
            <w:r>
              <w:rPr>
                <w:rFonts w:hint="eastAsia" w:ascii="宋体" w:hAnsi="宋体" w:cs="宋体"/>
                <w:color w:val="auto"/>
                <w:sz w:val="20"/>
                <w:szCs w:val="20"/>
              </w:rPr>
              <w:t>外壳材质：压铸铝</w:t>
            </w:r>
          </w:p>
          <w:p>
            <w:pPr>
              <w:rPr>
                <w:rFonts w:ascii="宋体" w:hAnsi="宋体" w:cs="宋体"/>
                <w:color w:val="auto"/>
                <w:sz w:val="20"/>
                <w:szCs w:val="20"/>
              </w:rPr>
            </w:pPr>
            <w:r>
              <w:rPr>
                <w:rFonts w:hint="eastAsia" w:ascii="宋体" w:hAnsi="宋体" w:cs="宋体"/>
                <w:color w:val="auto"/>
                <w:sz w:val="20"/>
                <w:szCs w:val="20"/>
              </w:rPr>
              <w:t>电源：AC220V±20%，47Hz~63Hz</w:t>
            </w:r>
          </w:p>
          <w:p>
            <w:pPr>
              <w:rPr>
                <w:rFonts w:ascii="宋体" w:hAnsi="宋体" w:cs="宋体"/>
                <w:color w:val="auto"/>
                <w:sz w:val="20"/>
                <w:szCs w:val="20"/>
              </w:rPr>
            </w:pPr>
            <w:r>
              <w:rPr>
                <w:rFonts w:hint="eastAsia" w:ascii="宋体" w:hAnsi="宋体" w:cs="宋体"/>
                <w:color w:val="auto"/>
                <w:sz w:val="20"/>
                <w:szCs w:val="20"/>
              </w:rPr>
              <w:t>功率：最大60W，低亮档30W （实际功率与控制方式相关）</w:t>
            </w:r>
          </w:p>
          <w:p>
            <w:pPr>
              <w:rPr>
                <w:rFonts w:ascii="宋体" w:hAnsi="宋体" w:cs="宋体"/>
                <w:color w:val="auto"/>
                <w:sz w:val="20"/>
                <w:szCs w:val="20"/>
              </w:rPr>
            </w:pPr>
            <w:r>
              <w:rPr>
                <w:rFonts w:hint="eastAsia" w:ascii="宋体" w:hAnsi="宋体" w:cs="宋体"/>
                <w:color w:val="auto"/>
                <w:sz w:val="20"/>
                <w:szCs w:val="20"/>
              </w:rPr>
              <w:t>工作环境：工作温度-40℃～+70℃，工作湿度10%～90%</w:t>
            </w:r>
          </w:p>
          <w:p>
            <w:pPr>
              <w:rPr>
                <w:rFonts w:ascii="宋体" w:hAnsi="宋体" w:cs="宋体"/>
                <w:color w:val="auto"/>
                <w:sz w:val="20"/>
                <w:szCs w:val="20"/>
              </w:rPr>
            </w:pPr>
            <w:r>
              <w:rPr>
                <w:rFonts w:hint="eastAsia" w:ascii="宋体" w:hAnsi="宋体" w:cs="宋体"/>
                <w:color w:val="auto"/>
                <w:sz w:val="20"/>
                <w:szCs w:val="20"/>
              </w:rPr>
              <w:t xml:space="preserve">防护等级：IP66                                                                  </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98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终端服务器</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【常规】【4路IPC接入】【2T】</w:t>
            </w:r>
          </w:p>
          <w:p>
            <w:pPr>
              <w:rPr>
                <w:rFonts w:ascii="宋体" w:hAnsi="宋体" w:cs="宋体"/>
                <w:color w:val="auto"/>
                <w:sz w:val="20"/>
                <w:szCs w:val="20"/>
              </w:rPr>
            </w:pPr>
            <w:r>
              <w:rPr>
                <w:rFonts w:hint="eastAsia" w:ascii="宋体" w:hAnsi="宋体" w:cs="宋体"/>
                <w:color w:val="auto"/>
                <w:sz w:val="20"/>
                <w:szCs w:val="20"/>
              </w:rPr>
              <w:t>嵌入式操作系统，内置1块2T硬盘；</w:t>
            </w:r>
          </w:p>
          <w:p>
            <w:pPr>
              <w:rPr>
                <w:rFonts w:ascii="宋体" w:hAnsi="宋体" w:cs="宋体"/>
                <w:color w:val="auto"/>
                <w:sz w:val="20"/>
                <w:szCs w:val="20"/>
              </w:rPr>
            </w:pPr>
            <w:r>
              <w:rPr>
                <w:rFonts w:hint="eastAsia" w:ascii="宋体" w:hAnsi="宋体" w:cs="宋体"/>
                <w:color w:val="auto"/>
                <w:sz w:val="20"/>
                <w:szCs w:val="20"/>
              </w:rPr>
              <w:t>双网卡，具备4个100M以太网接口及2个1000M以太网接口、2个1000M SFP光纤接口；</w:t>
            </w:r>
          </w:p>
          <w:p>
            <w:pPr>
              <w:rPr>
                <w:rFonts w:ascii="宋体" w:hAnsi="宋体" w:cs="宋体"/>
                <w:color w:val="auto"/>
                <w:sz w:val="20"/>
                <w:szCs w:val="20"/>
              </w:rPr>
            </w:pPr>
            <w:r>
              <w:rPr>
                <w:rFonts w:hint="eastAsia" w:ascii="宋体" w:hAnsi="宋体" w:cs="宋体"/>
                <w:color w:val="auto"/>
                <w:sz w:val="20"/>
                <w:szCs w:val="20"/>
              </w:rPr>
              <w:t>坚固紧凑无风扇设计，体积小巧，适合在路边机柜及抱杆机柜使用，单面接口设计，更便于施工操作；</w:t>
            </w:r>
          </w:p>
          <w:p>
            <w:pPr>
              <w:rPr>
                <w:rFonts w:ascii="宋体" w:hAnsi="宋体" w:cs="宋体"/>
                <w:color w:val="auto"/>
                <w:sz w:val="20"/>
                <w:szCs w:val="20"/>
              </w:rPr>
            </w:pPr>
            <w:r>
              <w:rPr>
                <w:rFonts w:hint="eastAsia" w:ascii="宋体" w:hAnsi="宋体" w:cs="宋体"/>
                <w:color w:val="auto"/>
                <w:sz w:val="20"/>
                <w:szCs w:val="20"/>
              </w:rPr>
              <w:t>最大支持2TB硬盘存储，图片与录像可设置配额；</w:t>
            </w:r>
          </w:p>
          <w:p>
            <w:pPr>
              <w:rPr>
                <w:rFonts w:ascii="宋体" w:hAnsi="宋体" w:cs="宋体"/>
                <w:color w:val="auto"/>
                <w:sz w:val="20"/>
                <w:szCs w:val="20"/>
              </w:rPr>
            </w:pPr>
            <w:r>
              <w:rPr>
                <w:rFonts w:hint="eastAsia" w:ascii="宋体" w:hAnsi="宋体" w:cs="宋体"/>
                <w:color w:val="auto"/>
                <w:sz w:val="20"/>
                <w:szCs w:val="20"/>
              </w:rPr>
              <w:t>支持对通行车辆的信息（记录和图片、录像）存储；</w:t>
            </w:r>
          </w:p>
          <w:p>
            <w:pPr>
              <w:rPr>
                <w:rFonts w:ascii="宋体" w:hAnsi="宋体" w:cs="宋体"/>
                <w:color w:val="auto"/>
                <w:sz w:val="20"/>
                <w:szCs w:val="20"/>
              </w:rPr>
            </w:pPr>
            <w:r>
              <w:rPr>
                <w:rFonts w:hint="eastAsia" w:ascii="宋体" w:hAnsi="宋体" w:cs="宋体"/>
                <w:color w:val="auto"/>
                <w:sz w:val="20"/>
                <w:szCs w:val="20"/>
              </w:rPr>
              <w:t>可配置多种字符叠加、图片合成模式；</w:t>
            </w:r>
          </w:p>
          <w:p>
            <w:pPr>
              <w:rPr>
                <w:rFonts w:ascii="宋体" w:hAnsi="宋体" w:cs="宋体"/>
                <w:color w:val="auto"/>
                <w:sz w:val="20"/>
                <w:szCs w:val="20"/>
              </w:rPr>
            </w:pPr>
            <w:r>
              <w:rPr>
                <w:rFonts w:hint="eastAsia" w:ascii="宋体" w:hAnsi="宋体" w:cs="宋体"/>
                <w:color w:val="auto"/>
                <w:sz w:val="20"/>
                <w:szCs w:val="20"/>
              </w:rPr>
              <w:t>支持区间测速功能；</w:t>
            </w:r>
          </w:p>
          <w:p>
            <w:pPr>
              <w:rPr>
                <w:rFonts w:ascii="宋体" w:hAnsi="宋体" w:cs="宋体"/>
                <w:color w:val="auto"/>
                <w:sz w:val="20"/>
                <w:szCs w:val="20"/>
              </w:rPr>
            </w:pPr>
            <w:r>
              <w:rPr>
                <w:rFonts w:hint="eastAsia" w:ascii="宋体" w:hAnsi="宋体" w:cs="宋体"/>
                <w:color w:val="auto"/>
                <w:sz w:val="20"/>
                <w:szCs w:val="20"/>
              </w:rPr>
              <w:t>支持配置增加GPS校时模块；</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1091"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4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室外机柜产品</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 xml:space="preserve">配电控制系统，20kW，含配电箱，远程上电、防雷、交通诱导屏发送卡                                         </w:t>
            </w:r>
          </w:p>
          <w:p>
            <w:pPr>
              <w:rPr>
                <w:rFonts w:ascii="宋体" w:hAnsi="宋体" w:cs="宋体"/>
                <w:color w:val="auto"/>
                <w:sz w:val="20"/>
                <w:szCs w:val="20"/>
              </w:rPr>
            </w:pPr>
            <w:r>
              <w:rPr>
                <w:rFonts w:hint="eastAsia" w:ascii="宋体" w:hAnsi="宋体" w:cs="宋体"/>
                <w:color w:val="auto"/>
                <w:sz w:val="20"/>
                <w:szCs w:val="20"/>
              </w:rPr>
              <w:t>尺寸：800mm×600mm×450mm                                          防护等级IP55</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96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室外交通警示牌</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交通警示牌，在主干道路沿途配置警示牌，如礼让行人、减速慢行、限速标志、急拐弯、禁停禁鸣等内容，挂于路灯杆、监控杆等醒目位置，每块大小根据现场情况定制。</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15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08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测速显示屏</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·产品尺寸    800mm×1800mm×100mm</w:t>
            </w:r>
          </w:p>
          <w:p>
            <w:pPr>
              <w:rPr>
                <w:rFonts w:ascii="宋体" w:hAnsi="宋体" w:cs="宋体"/>
                <w:color w:val="auto"/>
                <w:sz w:val="20"/>
                <w:szCs w:val="20"/>
              </w:rPr>
            </w:pPr>
            <w:r>
              <w:rPr>
                <w:rFonts w:hint="eastAsia" w:ascii="宋体" w:hAnsi="宋体" w:cs="宋体"/>
                <w:color w:val="auto"/>
                <w:sz w:val="20"/>
                <w:szCs w:val="20"/>
              </w:rPr>
              <w:t xml:space="preserve">·电压        AC 176V~264V 频率：50Hz </w:t>
            </w:r>
          </w:p>
          <w:p>
            <w:pPr>
              <w:rPr>
                <w:rFonts w:ascii="宋体" w:hAnsi="宋体" w:cs="宋体"/>
                <w:color w:val="auto"/>
                <w:sz w:val="20"/>
                <w:szCs w:val="20"/>
              </w:rPr>
            </w:pPr>
            <w:r>
              <w:rPr>
                <w:rFonts w:hint="eastAsia" w:ascii="宋体" w:hAnsi="宋体" w:cs="宋体"/>
                <w:color w:val="auto"/>
                <w:sz w:val="20"/>
                <w:szCs w:val="20"/>
              </w:rPr>
              <w:t>·通信方式    RJ45网络通信</w:t>
            </w:r>
          </w:p>
          <w:p>
            <w:pPr>
              <w:rPr>
                <w:rFonts w:ascii="宋体" w:hAnsi="宋体" w:cs="宋体"/>
                <w:color w:val="auto"/>
                <w:sz w:val="20"/>
                <w:szCs w:val="20"/>
              </w:rPr>
            </w:pPr>
            <w:r>
              <w:rPr>
                <w:rFonts w:hint="eastAsia" w:ascii="宋体" w:hAnsi="宋体" w:cs="宋体"/>
                <w:color w:val="auto"/>
                <w:sz w:val="20"/>
                <w:szCs w:val="20"/>
              </w:rPr>
              <w:t>·显示数值    红199～1；绿199～1；</w:t>
            </w:r>
          </w:p>
          <w:p>
            <w:pPr>
              <w:rPr>
                <w:rFonts w:ascii="宋体" w:hAnsi="宋体" w:cs="宋体"/>
                <w:color w:val="auto"/>
                <w:sz w:val="20"/>
                <w:szCs w:val="20"/>
              </w:rPr>
            </w:pPr>
            <w:r>
              <w:rPr>
                <w:rFonts w:hint="eastAsia" w:ascii="宋体" w:hAnsi="宋体" w:cs="宋体"/>
                <w:color w:val="auto"/>
                <w:sz w:val="20"/>
                <w:szCs w:val="20"/>
              </w:rPr>
              <w:t>·中心亮度 红&gt;5000 cd/m2；黄&gt;5000 cd/m2绿&gt;5000cd/m2；</w:t>
            </w:r>
          </w:p>
          <w:p>
            <w:pPr>
              <w:rPr>
                <w:rFonts w:ascii="宋体" w:hAnsi="宋体" w:cs="宋体"/>
                <w:color w:val="auto"/>
                <w:sz w:val="20"/>
                <w:szCs w:val="20"/>
              </w:rPr>
            </w:pPr>
            <w:r>
              <w:rPr>
                <w:rFonts w:hint="eastAsia" w:ascii="宋体" w:hAnsi="宋体" w:cs="宋体"/>
                <w:color w:val="auto"/>
                <w:sz w:val="20"/>
                <w:szCs w:val="20"/>
              </w:rPr>
              <w:t xml:space="preserve">·LED        直径 Φ5        </w:t>
            </w:r>
          </w:p>
          <w:p>
            <w:pPr>
              <w:rPr>
                <w:rFonts w:ascii="宋体" w:hAnsi="宋体" w:cs="宋体"/>
                <w:color w:val="auto"/>
                <w:sz w:val="20"/>
                <w:szCs w:val="20"/>
              </w:rPr>
            </w:pPr>
            <w:r>
              <w:rPr>
                <w:rFonts w:hint="eastAsia" w:ascii="宋体" w:hAnsi="宋体" w:cs="宋体"/>
                <w:color w:val="auto"/>
                <w:sz w:val="20"/>
                <w:szCs w:val="20"/>
              </w:rPr>
              <w:t>·方阵排列    单管电流 ≤20mA</w:t>
            </w:r>
          </w:p>
          <w:p>
            <w:pPr>
              <w:rPr>
                <w:rFonts w:ascii="宋体" w:hAnsi="宋体" w:cs="宋体"/>
                <w:color w:val="auto"/>
                <w:sz w:val="20"/>
                <w:szCs w:val="20"/>
              </w:rPr>
            </w:pPr>
            <w:r>
              <w:rPr>
                <w:rFonts w:hint="eastAsia" w:ascii="宋体" w:hAnsi="宋体" w:cs="宋体"/>
                <w:color w:val="auto"/>
                <w:sz w:val="20"/>
                <w:szCs w:val="20"/>
              </w:rPr>
              <w:t>·LED寿命    ≥10万小时</w:t>
            </w:r>
          </w:p>
          <w:p>
            <w:pPr>
              <w:rPr>
                <w:rFonts w:ascii="宋体" w:hAnsi="宋体" w:cs="宋体"/>
                <w:color w:val="auto"/>
                <w:sz w:val="20"/>
                <w:szCs w:val="20"/>
              </w:rPr>
            </w:pPr>
            <w:r>
              <w:rPr>
                <w:rFonts w:hint="eastAsia" w:ascii="宋体" w:hAnsi="宋体" w:cs="宋体"/>
                <w:color w:val="auto"/>
                <w:sz w:val="20"/>
                <w:szCs w:val="20"/>
              </w:rPr>
              <w:t>·波长      红:628nm±1nm, 黄:590nm±1nm, 绿:505nm±1nm</w:t>
            </w:r>
          </w:p>
          <w:p>
            <w:pPr>
              <w:rPr>
                <w:rFonts w:ascii="宋体" w:hAnsi="宋体" w:cs="宋体"/>
                <w:color w:val="auto"/>
                <w:sz w:val="20"/>
                <w:szCs w:val="20"/>
              </w:rPr>
            </w:pPr>
            <w:r>
              <w:rPr>
                <w:rFonts w:hint="eastAsia" w:ascii="宋体" w:hAnsi="宋体" w:cs="宋体"/>
                <w:color w:val="auto"/>
                <w:sz w:val="20"/>
                <w:szCs w:val="20"/>
              </w:rPr>
              <w:t xml:space="preserve">·反光膜等级  3级 使用寿命≥10年  </w:t>
            </w:r>
          </w:p>
          <w:p>
            <w:pPr>
              <w:rPr>
                <w:rFonts w:ascii="宋体" w:hAnsi="宋体" w:cs="宋体"/>
                <w:color w:val="auto"/>
                <w:sz w:val="20"/>
                <w:szCs w:val="20"/>
              </w:rPr>
            </w:pPr>
            <w:r>
              <w:rPr>
                <w:rFonts w:hint="eastAsia" w:ascii="宋体" w:hAnsi="宋体" w:cs="宋体"/>
                <w:color w:val="auto"/>
                <w:sz w:val="20"/>
                <w:szCs w:val="20"/>
              </w:rPr>
              <w:t>·可视距离    ≥500m可视角度 &gt;30°</w:t>
            </w:r>
          </w:p>
          <w:p>
            <w:pPr>
              <w:rPr>
                <w:rFonts w:ascii="宋体" w:hAnsi="宋体" w:cs="宋体"/>
                <w:color w:val="auto"/>
                <w:sz w:val="20"/>
                <w:szCs w:val="20"/>
              </w:rPr>
            </w:pPr>
            <w:r>
              <w:rPr>
                <w:rFonts w:hint="eastAsia" w:ascii="宋体" w:hAnsi="宋体" w:cs="宋体"/>
                <w:color w:val="auto"/>
                <w:sz w:val="20"/>
                <w:szCs w:val="20"/>
              </w:rPr>
              <w:t>·工作温度    -40 ~ +80℃   相对湿度 ≤95%</w:t>
            </w:r>
          </w:p>
          <w:p>
            <w:pPr>
              <w:rPr>
                <w:rFonts w:ascii="宋体" w:hAnsi="宋体" w:cs="宋体"/>
                <w:color w:val="auto"/>
                <w:sz w:val="20"/>
                <w:szCs w:val="20"/>
              </w:rPr>
            </w:pPr>
            <w:r>
              <w:rPr>
                <w:rFonts w:hint="eastAsia" w:ascii="宋体" w:hAnsi="宋体" w:cs="宋体"/>
                <w:color w:val="auto"/>
                <w:sz w:val="20"/>
                <w:szCs w:val="20"/>
              </w:rPr>
              <w:t>·保存环境  0~50℃，40~60%RH</w:t>
            </w:r>
          </w:p>
          <w:p>
            <w:pPr>
              <w:rPr>
                <w:rFonts w:ascii="宋体" w:hAnsi="宋体" w:cs="宋体"/>
                <w:color w:val="auto"/>
                <w:sz w:val="20"/>
                <w:szCs w:val="20"/>
              </w:rPr>
            </w:pPr>
            <w:r>
              <w:rPr>
                <w:rFonts w:hint="eastAsia" w:ascii="宋体" w:hAnsi="宋体" w:cs="宋体"/>
                <w:color w:val="auto"/>
                <w:sz w:val="20"/>
                <w:szCs w:val="20"/>
              </w:rPr>
              <w:t>·外壳材质    铝合金  黑色喷塑   防护等级 IP53</w:t>
            </w:r>
          </w:p>
          <w:p>
            <w:pPr>
              <w:rPr>
                <w:rFonts w:ascii="宋体" w:hAnsi="宋体" w:cs="宋体"/>
                <w:color w:val="auto"/>
                <w:sz w:val="20"/>
                <w:szCs w:val="20"/>
              </w:rPr>
            </w:pPr>
            <w:r>
              <w:rPr>
                <w:rFonts w:hint="eastAsia" w:ascii="宋体" w:hAnsi="宋体" w:cs="宋体"/>
                <w:color w:val="auto"/>
                <w:sz w:val="20"/>
                <w:szCs w:val="20"/>
              </w:rPr>
              <w:t>▲现场实时显示车牌号码、实时车速</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6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6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显示屏立杆</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高3200mm，热镀锌杆，含基础法兰浇筑等</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144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7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测速摄像机安装立柱</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杆件材质q235钢，高6米，横臂6米，立杆与横杆均为八角杆，杆件整体热镀锌喷塑，立杆与横杆壁厚≧5mm，上白下蓝。立杆必须有良好接地，其接地电阻小于４欧。含基础及浇筑。</w:t>
            </w:r>
          </w:p>
          <w:p>
            <w:pPr>
              <w:rPr>
                <w:rFonts w:ascii="宋体" w:hAnsi="宋体" w:cs="宋体"/>
                <w:color w:val="auto"/>
                <w:sz w:val="20"/>
                <w:szCs w:val="20"/>
              </w:rPr>
            </w:pPr>
            <w:r>
              <w:rPr>
                <w:rFonts w:hint="eastAsia" w:ascii="宋体" w:hAnsi="宋体" w:cs="宋体"/>
                <w:color w:val="auto"/>
                <w:sz w:val="20"/>
                <w:szCs w:val="20"/>
              </w:rPr>
              <w:t>设备箱质地不锈钢，规格300*400*180，壁厚3.5mm。</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8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交换机</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8口1000M交换机，1口SFP光口</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9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光模块</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1000M光模块</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只</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99"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10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控制线</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18"/>
                <w:szCs w:val="18"/>
              </w:rPr>
            </w:pPr>
            <w:r>
              <w:rPr>
                <w:rFonts w:hint="eastAsia" w:ascii="宋体" w:hAnsi="宋体" w:cs="宋体"/>
                <w:color w:val="auto"/>
                <w:sz w:val="18"/>
                <w:szCs w:val="18"/>
              </w:rPr>
              <w:t>铜芯聚氯乙稀，线径4芯0.75mm²非屏蔽线</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7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电源线</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RVV3*1.5</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0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六类网线</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8芯双绞,室外防水</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箱</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PE管</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Φ32</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14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室外土建</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70cm深，（挖沟、埋管、回填）</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六芯光纤</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室外单模，含光纤熔接、光纤跳线</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7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16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辅助材料</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插头座、开关、接插件、连接件等</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nil"/>
              <w:bottom w:val="nil"/>
              <w:right w:val="nil"/>
            </w:tcBorders>
            <w:shd w:val="clear" w:color="auto" w:fill="auto"/>
            <w:noWrap/>
            <w:vAlign w:val="bottom"/>
          </w:tcPr>
          <w:p>
            <w:pPr>
              <w:rPr>
                <w:rFonts w:ascii="宋体" w:hAnsi="宋体" w:cs="宋体"/>
                <w:color w:val="auto"/>
                <w:sz w:val="24"/>
              </w:rPr>
            </w:pPr>
          </w:p>
        </w:tc>
        <w:tc>
          <w:tcPr>
            <w:tcW w:w="1060" w:type="dxa"/>
            <w:tcBorders>
              <w:top w:val="nil"/>
              <w:left w:val="nil"/>
              <w:bottom w:val="nil"/>
              <w:right w:val="nil"/>
            </w:tcBorders>
            <w:shd w:val="clear" w:color="auto" w:fill="auto"/>
            <w:noWrap/>
            <w:vAlign w:val="bottom"/>
          </w:tcPr>
          <w:p>
            <w:pPr>
              <w:rPr>
                <w:rFonts w:ascii="宋体" w:hAnsi="宋体" w:cs="宋体"/>
                <w:color w:val="auto"/>
                <w:sz w:val="24"/>
              </w:rPr>
            </w:pPr>
          </w:p>
        </w:tc>
        <w:tc>
          <w:tcPr>
            <w:tcW w:w="5420" w:type="dxa"/>
            <w:tcBorders>
              <w:top w:val="nil"/>
              <w:left w:val="nil"/>
              <w:bottom w:val="nil"/>
              <w:right w:val="nil"/>
            </w:tcBorders>
            <w:shd w:val="clear" w:color="auto" w:fill="auto"/>
            <w:noWrap/>
            <w:vAlign w:val="bottom"/>
          </w:tcPr>
          <w:p>
            <w:pPr>
              <w:rPr>
                <w:rFonts w:ascii="宋体" w:hAnsi="宋体" w:cs="宋体"/>
                <w:color w:val="auto"/>
                <w:sz w:val="24"/>
              </w:rPr>
            </w:pPr>
          </w:p>
        </w:tc>
        <w:tc>
          <w:tcPr>
            <w:tcW w:w="760" w:type="dxa"/>
            <w:tcBorders>
              <w:top w:val="nil"/>
              <w:left w:val="nil"/>
              <w:bottom w:val="nil"/>
              <w:right w:val="nil"/>
            </w:tcBorders>
            <w:shd w:val="clear" w:color="auto" w:fill="auto"/>
            <w:noWrap/>
            <w:vAlign w:val="bottom"/>
          </w:tcPr>
          <w:p>
            <w:pPr>
              <w:rPr>
                <w:rFonts w:ascii="宋体" w:hAnsi="宋体" w:cs="宋体"/>
                <w:color w:val="auto"/>
                <w:sz w:val="24"/>
              </w:rPr>
            </w:pPr>
          </w:p>
        </w:tc>
        <w:tc>
          <w:tcPr>
            <w:tcW w:w="740" w:type="dxa"/>
            <w:tcBorders>
              <w:top w:val="nil"/>
              <w:left w:val="nil"/>
              <w:bottom w:val="nil"/>
              <w:right w:val="nil"/>
            </w:tcBorders>
            <w:shd w:val="clear" w:color="auto" w:fill="auto"/>
            <w:noWrap/>
            <w:vAlign w:val="bottom"/>
          </w:tcPr>
          <w:p>
            <w:pPr>
              <w:rPr>
                <w:rFonts w:ascii="宋体" w:hAnsi="宋体" w:cs="宋体"/>
                <w:color w:val="auto"/>
                <w:sz w:val="24"/>
              </w:rPr>
            </w:pPr>
          </w:p>
        </w:tc>
        <w:tc>
          <w:tcPr>
            <w:tcW w:w="642" w:type="dxa"/>
            <w:tcBorders>
              <w:top w:val="nil"/>
              <w:left w:val="nil"/>
              <w:bottom w:val="nil"/>
              <w:right w:val="nil"/>
            </w:tcBorders>
            <w:shd w:val="clear" w:color="auto" w:fill="auto"/>
            <w:noWrap/>
            <w:vAlign w:val="bottom"/>
          </w:tcPr>
          <w:p>
            <w:pPr>
              <w:rPr>
                <w:rFonts w:ascii="宋体" w:hAnsi="宋体" w:cs="宋体"/>
                <w:color w:val="auto"/>
                <w:sz w:val="24"/>
              </w:rPr>
            </w:pPr>
          </w:p>
        </w:tc>
      </w:tr>
    </w:tbl>
    <w:p>
      <w:pPr>
        <w:tabs>
          <w:tab w:val="left" w:pos="720"/>
        </w:tabs>
        <w:adjustRightInd/>
        <w:snapToGrid/>
        <w:spacing w:after="160" w:line="259" w:lineRule="auto"/>
        <w:outlineLvl w:val="1"/>
        <w:rPr>
          <w:rFonts w:ascii="仿宋" w:hAnsi="仿宋" w:eastAsia="仿宋" w:cs="仿宋"/>
          <w:b/>
          <w:bCs/>
          <w:color w:val="auto"/>
          <w:kern w:val="2"/>
          <w:sz w:val="28"/>
          <w:szCs w:val="28"/>
        </w:rPr>
      </w:pPr>
    </w:p>
    <w:p>
      <w:pPr>
        <w:autoSpaceDE w:val="0"/>
        <w:autoSpaceDN w:val="0"/>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zh-CN"/>
        </w:rPr>
        <w:t>五、商务条款</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服务要求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技术培训：供应商应为采购方进行人员培训，提供每年不少于1次的设备操作培训，对人员培训不低于2人。</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保修期：自验收合格之日起，由供应商提供三年的免费保修服务。</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售后技术服务要求：接到故障通知后4小时内作出答复，一般问题24小时之内解决；若采购方有需求，48小时内到达现场解决；若遇重大问题在一周内解决。</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安装要求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按照国家现行行业规范标准进行安装，符合国家或行业质量检验评定标准，没有行业标准的产品，投标人应提供相关制造商标准。</w:t>
      </w:r>
    </w:p>
    <w:p>
      <w:pPr>
        <w:spacing w:line="360" w:lineRule="auto"/>
        <w:ind w:firstLine="420"/>
        <w:jc w:val="both"/>
        <w:rPr>
          <w:color w:val="auto"/>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交货期、交货方式及交货地点</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交货期：15日内全部设备、材料运抵现场，并安装、调试结束，验收合格，交付买方使用。</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交货方式：中标人在买方指定地点交货，并完成安装、调试。</w:t>
      </w:r>
    </w:p>
    <w:p>
      <w:pPr>
        <w:spacing w:line="360" w:lineRule="auto"/>
        <w:ind w:firstLine="420"/>
        <w:jc w:val="both"/>
        <w:rPr>
          <w:rFonts w:ascii="Verdana" w:hAnsi="Verdana" w:eastAsia="宋体" w:cs="Calibri"/>
          <w:color w:val="auto"/>
          <w:kern w:val="2"/>
          <w:sz w:val="21"/>
          <w:szCs w:val="20"/>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交货地点：南京医科大学。</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其他技术服务需求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供应商须保证本次投标产品系优质材料和先进工艺制成新出厂的产品，且完全与投标文件所述相符。</w:t>
      </w:r>
    </w:p>
    <w:p>
      <w:pPr>
        <w:spacing w:line="360" w:lineRule="auto"/>
        <w:ind w:firstLine="42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交付使用前发生的产品硬件损坏和不合格，一律退换新品。在质保期开始的前三个月内，若发生产品损坏和性能不合格（非使用不当原因造成），除采购人同意修理者外，亦应退换新品。</w:t>
      </w:r>
    </w:p>
    <w:p>
      <w:pPr>
        <w:autoSpaceDE w:val="0"/>
        <w:autoSpaceDN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5、货款支付</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货物交付且安装、调试后，并通过验收后一周内使用方支付合同总金额的100%，付款之前需收到中标方开具的合法有效的相应金额发票。</w:t>
      </w:r>
    </w:p>
    <w:p>
      <w:pPr>
        <w:spacing w:line="360" w:lineRule="auto"/>
        <w:ind w:firstLine="420"/>
        <w:jc w:val="both"/>
        <w:rPr>
          <w:rFonts w:hint="eastAsia" w:ascii="宋体" w:hAnsi="宋体" w:eastAsia="宋体" w:cs="宋体"/>
          <w:color w:val="auto"/>
          <w:sz w:val="24"/>
          <w:szCs w:val="24"/>
          <w:lang w:val="zh-CN"/>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pageBreakBefore/>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第四章  评标方法与评标标准</w:t>
      </w:r>
    </w:p>
    <w:p>
      <w:pPr>
        <w:autoSpaceDE w:val="0"/>
        <w:autoSpaceDN w:val="0"/>
        <w:spacing w:line="360" w:lineRule="auto"/>
        <w:rPr>
          <w:rFonts w:hint="eastAsia" w:ascii="宋体" w:hAnsi="宋体" w:eastAsia="宋体" w:cs="宋体"/>
          <w:b/>
          <w:color w:val="auto"/>
          <w:sz w:val="24"/>
          <w:szCs w:val="24"/>
          <w:lang w:val="zh-CN"/>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一、评标方法与定标原则</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二、评标标准</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本项目采用综合评分法确定中标候选人。评标委员会将按下列评分办法和标准进行评分，总分值为100分。</w:t>
      </w:r>
    </w:p>
    <w:tbl>
      <w:tblPr>
        <w:tblStyle w:val="2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4"/>
        <w:gridCol w:w="708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653"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序号</w:t>
            </w:r>
          </w:p>
        </w:tc>
        <w:tc>
          <w:tcPr>
            <w:tcW w:w="1254"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评分因素</w:t>
            </w:r>
          </w:p>
        </w:tc>
        <w:tc>
          <w:tcPr>
            <w:tcW w:w="7086"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评审细则</w:t>
            </w:r>
          </w:p>
        </w:tc>
        <w:tc>
          <w:tcPr>
            <w:tcW w:w="763"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1</w:t>
            </w:r>
          </w:p>
        </w:tc>
        <w:tc>
          <w:tcPr>
            <w:tcW w:w="1254"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价格</w:t>
            </w:r>
          </w:p>
        </w:tc>
        <w:tc>
          <w:tcPr>
            <w:tcW w:w="7086" w:type="dxa"/>
            <w:vAlign w:val="center"/>
          </w:tcPr>
          <w:p>
            <w:pPr>
              <w:widowControl w:val="0"/>
              <w:adjustRightInd/>
              <w:snapToGrid/>
              <w:spacing w:line="440" w:lineRule="exact"/>
              <w:rPr>
                <w:rFonts w:ascii="微软雅黑" w:hAnsi="微软雅黑" w:cs="微软雅黑"/>
                <w:color w:val="auto"/>
                <w:spacing w:val="6"/>
                <w:sz w:val="21"/>
                <w:szCs w:val="21"/>
              </w:rPr>
            </w:pPr>
            <w:r>
              <w:rPr>
                <w:rFonts w:hint="eastAsia" w:ascii="宋体" w:hAnsi="宋体" w:cs="宋体"/>
                <w:color w:val="auto"/>
                <w:sz w:val="21"/>
                <w:szCs w:val="21"/>
              </w:rPr>
              <w:t>本次招标，以进入详细评审的各投标人评标价的最低值为A值，A值为价格分的满分，即30分。其他投标人的价格分统一按照以下公式计算：投标人评标价得分=（A／该投标人评标价）×30。（保留小数点后两位）</w:t>
            </w:r>
          </w:p>
        </w:tc>
        <w:tc>
          <w:tcPr>
            <w:tcW w:w="76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2</w:t>
            </w:r>
          </w:p>
        </w:tc>
        <w:tc>
          <w:tcPr>
            <w:tcW w:w="1254"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技术响应</w:t>
            </w:r>
          </w:p>
        </w:tc>
        <w:tc>
          <w:tcPr>
            <w:tcW w:w="7086" w:type="dxa"/>
            <w:vAlign w:val="center"/>
          </w:tcPr>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投标产品全部满足采购文件的技术参数要求的得满分25分。</w:t>
            </w:r>
          </w:p>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带“</w:t>
            </w:r>
            <w:r>
              <w:rPr>
                <w:rFonts w:hint="eastAsia" w:ascii="微软雅黑" w:hAnsi="微软雅黑" w:cs="微软雅黑"/>
                <w:b/>
                <w:bCs/>
                <w:color w:val="auto"/>
                <w:sz w:val="21"/>
                <w:szCs w:val="21"/>
              </w:rPr>
              <w:t>★</w:t>
            </w:r>
            <w:r>
              <w:rPr>
                <w:rFonts w:hint="eastAsia" w:ascii="微软雅黑" w:hAnsi="微软雅黑" w:cs="微软雅黑"/>
                <w:color w:val="auto"/>
                <w:spacing w:val="6"/>
                <w:sz w:val="21"/>
                <w:szCs w:val="21"/>
              </w:rPr>
              <w:t>”条款为实质性参数必须满足，实质性参数不满足的，作无效投标处理。带“▲”条款存在负偏离的，每一条负偏离扣3分；</w:t>
            </w:r>
          </w:p>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其他技术参数负偏离每一条扣1分；扣完为止。</w:t>
            </w:r>
          </w:p>
          <w:p>
            <w:pPr>
              <w:widowControl w:val="0"/>
              <w:adjustRightInd/>
              <w:snapToGrid/>
              <w:spacing w:after="0" w:line="440" w:lineRule="exact"/>
              <w:jc w:val="both"/>
              <w:rPr>
                <w:rFonts w:ascii="微软雅黑" w:hAnsi="微软雅黑" w:cs="微软雅黑"/>
                <w:color w:val="auto"/>
                <w:spacing w:val="6"/>
                <w:kern w:val="2"/>
                <w:sz w:val="21"/>
                <w:szCs w:val="21"/>
              </w:rPr>
            </w:pPr>
            <w:r>
              <w:rPr>
                <w:rFonts w:hint="eastAsia" w:ascii="微软雅黑" w:hAnsi="微软雅黑" w:cs="微软雅黑"/>
                <w:color w:val="auto"/>
                <w:spacing w:val="6"/>
                <w:kern w:val="2"/>
                <w:sz w:val="21"/>
                <w:szCs w:val="21"/>
              </w:rPr>
              <w:t>以</w:t>
            </w:r>
            <w:r>
              <w:rPr>
                <w:rFonts w:hint="eastAsia" w:ascii="微软雅黑" w:hAnsi="微软雅黑" w:cs="微软雅黑"/>
                <w:color w:val="auto"/>
                <w:kern w:val="2"/>
                <w:sz w:val="21"/>
                <w:szCs w:val="21"/>
              </w:rPr>
              <w:t>投标供应商</w:t>
            </w:r>
            <w:r>
              <w:rPr>
                <w:rFonts w:hint="eastAsia" w:ascii="微软雅黑" w:hAnsi="微软雅黑" w:cs="微软雅黑"/>
                <w:color w:val="auto"/>
                <w:spacing w:val="6"/>
                <w:kern w:val="2"/>
                <w:sz w:val="21"/>
                <w:szCs w:val="21"/>
              </w:rPr>
              <w:t>提供的技术要求响应表为准，</w:t>
            </w:r>
            <w:r>
              <w:rPr>
                <w:rFonts w:hint="eastAsia" w:ascii="微软雅黑" w:hAnsi="微软雅黑" w:cs="微软雅黑"/>
                <w:color w:val="auto"/>
                <w:kern w:val="2"/>
                <w:sz w:val="21"/>
                <w:szCs w:val="21"/>
              </w:rPr>
              <w:t>投标供应商</w:t>
            </w:r>
            <w:r>
              <w:rPr>
                <w:rFonts w:hint="eastAsia" w:ascii="微软雅黑" w:hAnsi="微软雅黑" w:cs="微软雅黑"/>
                <w:color w:val="auto"/>
                <w:spacing w:val="6"/>
                <w:kern w:val="2"/>
                <w:sz w:val="21"/>
                <w:szCs w:val="21"/>
              </w:rPr>
              <w:t>需在“技术要求响应表”中如实详细填列所投产品的参数及服务承诺，</w:t>
            </w:r>
            <w:r>
              <w:rPr>
                <w:rFonts w:hint="eastAsia" w:ascii="微软雅黑" w:hAnsi="微软雅黑" w:cs="微软雅黑"/>
                <w:color w:val="auto"/>
                <w:kern w:val="2"/>
                <w:sz w:val="21"/>
                <w:szCs w:val="21"/>
              </w:rPr>
              <w:t>并按采购文件要求提供相应证明材料，在偏离表中标明证明材料所在页码。</w:t>
            </w:r>
          </w:p>
        </w:tc>
        <w:tc>
          <w:tcPr>
            <w:tcW w:w="763" w:type="dxa"/>
            <w:vAlign w:val="center"/>
          </w:tcPr>
          <w:p>
            <w:pPr>
              <w:widowControl w:val="0"/>
              <w:adjustRightInd/>
              <w:snapToGrid/>
              <w:spacing w:after="0" w:line="440" w:lineRule="exact"/>
              <w:jc w:val="center"/>
              <w:rPr>
                <w:rFonts w:ascii="微软雅黑" w:hAnsi="微软雅黑" w:cs="微软雅黑"/>
                <w:color w:val="auto"/>
                <w:spacing w:val="6"/>
                <w:kern w:val="2"/>
                <w:sz w:val="21"/>
                <w:szCs w:val="21"/>
              </w:rPr>
            </w:pPr>
            <w:r>
              <w:rPr>
                <w:rFonts w:hint="eastAsia" w:ascii="微软雅黑" w:hAnsi="微软雅黑" w:cs="微软雅黑"/>
                <w:color w:val="auto"/>
                <w:spacing w:val="6"/>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3</w:t>
            </w:r>
          </w:p>
        </w:tc>
        <w:tc>
          <w:tcPr>
            <w:tcW w:w="1254" w:type="dxa"/>
          </w:tcPr>
          <w:p>
            <w:pPr>
              <w:rPr>
                <w:color w:val="auto"/>
              </w:rPr>
            </w:pPr>
            <w:r>
              <w:rPr>
                <w:rFonts w:hint="eastAsia"/>
                <w:color w:val="auto"/>
              </w:rPr>
              <w:t>实施方案</w:t>
            </w:r>
          </w:p>
        </w:tc>
        <w:tc>
          <w:tcPr>
            <w:tcW w:w="7086" w:type="dxa"/>
          </w:tcPr>
          <w:p>
            <w:pPr>
              <w:widowControl w:val="0"/>
              <w:adjustRightInd/>
              <w:snapToGrid/>
              <w:spacing w:line="440" w:lineRule="exact"/>
              <w:rPr>
                <w:color w:val="auto"/>
              </w:rPr>
            </w:pPr>
            <w:r>
              <w:rPr>
                <w:rFonts w:hint="eastAsia"/>
                <w:color w:val="auto"/>
              </w:rPr>
              <w:t>评委根据投标供应商提供的项目实施方案，包括项目技术方案、施工组织设计，含与各管理平台对接方案、方案的针对性等内容进行综合评分。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1）实施方案与学校实际系统使用需求完全契合、方案完整详实且切实可行的，得15分；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（2）实施方案与学校实际系统使用需求较为吻合、方案较为完整且可行性较高的，得11分；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（3）实施方案与学校实际系统使用需求有所偏差、方案的完整度和可行性有缺陷的，得7分；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（4）实施方案与学校实际系统使用需求有较大偏差、方案的完整度和可行性有较大缺陷的，得3分；</w:t>
            </w:r>
          </w:p>
          <w:p>
            <w:pPr>
              <w:rPr>
                <w:color w:val="auto"/>
              </w:rPr>
            </w:pPr>
            <w:r>
              <w:rPr>
                <w:rFonts w:hint="eastAsia" w:ascii="微软雅黑" w:hAnsi="微软雅黑" w:cs="微软雅黑"/>
                <w:color w:val="auto"/>
                <w:spacing w:val="6"/>
                <w:sz w:val="21"/>
                <w:szCs w:val="21"/>
              </w:rPr>
              <w:t>（5）未提供相应内容的不得分。</w:t>
            </w:r>
          </w:p>
        </w:tc>
        <w:tc>
          <w:tcPr>
            <w:tcW w:w="763"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4</w:t>
            </w:r>
          </w:p>
        </w:tc>
        <w:tc>
          <w:tcPr>
            <w:tcW w:w="1254"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技术支持保证</w:t>
            </w:r>
          </w:p>
        </w:tc>
        <w:tc>
          <w:tcPr>
            <w:tcW w:w="7086" w:type="dxa"/>
            <w:vAlign w:val="center"/>
          </w:tcPr>
          <w:p>
            <w:pPr>
              <w:widowControl w:val="0"/>
              <w:adjustRightInd/>
              <w:snapToGrid/>
              <w:spacing w:line="440" w:lineRule="exact"/>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为保证系统正常运行，及时解决系统运行维护中疑难故障，保证今后系统扩容、升级等正常进行，投标供应商取得测速设备厂家原厂技术支持及服务保证至关重要。</w:t>
            </w:r>
          </w:p>
          <w:p>
            <w:pPr>
              <w:widowControl w:val="0"/>
              <w:adjustRightInd/>
              <w:snapToGrid/>
              <w:spacing w:line="440" w:lineRule="exact"/>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提供测速设备制造商针对该项目的原厂质保承诺函的得8分；</w:t>
            </w:r>
          </w:p>
        </w:tc>
        <w:tc>
          <w:tcPr>
            <w:tcW w:w="763"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5</w:t>
            </w:r>
          </w:p>
        </w:tc>
        <w:tc>
          <w:tcPr>
            <w:tcW w:w="1254" w:type="dxa"/>
            <w:vAlign w:val="center"/>
          </w:tcPr>
          <w:p>
            <w:pPr>
              <w:widowControl w:val="0"/>
              <w:adjustRightInd/>
              <w:snapToGrid/>
              <w:spacing w:after="0" w:line="440" w:lineRule="exact"/>
              <w:jc w:val="center"/>
              <w:rPr>
                <w:rFonts w:ascii="微软雅黑" w:hAnsi="微软雅黑" w:cs="微软雅黑"/>
                <w:bCs/>
                <w:color w:val="auto"/>
                <w:kern w:val="2"/>
                <w:sz w:val="21"/>
                <w:szCs w:val="21"/>
              </w:rPr>
            </w:pPr>
            <w:r>
              <w:rPr>
                <w:rFonts w:hint="eastAsia" w:ascii="微软雅黑" w:hAnsi="微软雅黑" w:cs="微软雅黑"/>
                <w:color w:val="auto"/>
                <w:kern w:val="2"/>
                <w:sz w:val="21"/>
                <w:szCs w:val="21"/>
              </w:rPr>
              <w:t>售后服务团队配备</w:t>
            </w:r>
          </w:p>
        </w:tc>
        <w:tc>
          <w:tcPr>
            <w:tcW w:w="7086" w:type="dxa"/>
            <w:vAlign w:val="center"/>
          </w:tcPr>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（1）技术负责人：技术负责人具有注册建造师二级以上证书、高级工程师证书，每提供一个得2分,最多得4分。</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（2）项目成员（除项目经理、技术负责人外的不同成员）：</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项目成员中，具有注册建造师二级及以上资质证书、特种作业资格-建筑电工证书、工程师中级（含）以上职称证书、网络与信息安全应急人员等证书，每提供1个得2分，最高得8分。</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b/>
                <w:bCs/>
                <w:color w:val="auto"/>
                <w:kern w:val="2"/>
                <w:sz w:val="21"/>
                <w:szCs w:val="21"/>
              </w:rPr>
              <w:t>注：</w:t>
            </w:r>
            <w:r>
              <w:rPr>
                <w:rFonts w:hint="eastAsia" w:ascii="微软雅黑" w:hAnsi="微软雅黑" w:cs="微软雅黑"/>
                <w:b/>
                <w:bCs/>
                <w:color w:val="auto"/>
                <w:kern w:val="2"/>
                <w:sz w:val="21"/>
                <w:szCs w:val="21"/>
                <w:lang w:val="zh-TW"/>
              </w:rPr>
              <w:t>提供的人员证书若为同一人不重复计分</w:t>
            </w:r>
            <w:r>
              <w:rPr>
                <w:rFonts w:hint="eastAsia" w:ascii="微软雅黑" w:hAnsi="微软雅黑" w:cs="微软雅黑"/>
                <w:color w:val="auto"/>
                <w:kern w:val="2"/>
                <w:sz w:val="21"/>
                <w:szCs w:val="21"/>
                <w:lang w:val="zh-TW"/>
              </w:rPr>
              <w:t>。</w:t>
            </w:r>
          </w:p>
        </w:tc>
        <w:tc>
          <w:tcPr>
            <w:tcW w:w="763" w:type="dxa"/>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6</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企业业绩</w:t>
            </w:r>
          </w:p>
        </w:tc>
        <w:tc>
          <w:tcPr>
            <w:tcW w:w="70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投标供应商提供类似项目的业绩，每提供一份有效合同得5分，最高得10分（必须提供合同复印件，合同原件备查）。</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93" w:type="dxa"/>
            <w:gridSpan w:val="3"/>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合计</w:t>
            </w:r>
          </w:p>
        </w:tc>
        <w:tc>
          <w:tcPr>
            <w:tcW w:w="76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fldChar w:fldCharType="begin"/>
            </w:r>
            <w:r>
              <w:rPr>
                <w:rFonts w:hint="eastAsia" w:ascii="微软雅黑" w:hAnsi="微软雅黑" w:cs="微软雅黑"/>
                <w:bCs/>
                <w:color w:val="auto"/>
                <w:sz w:val="21"/>
                <w:szCs w:val="21"/>
              </w:rPr>
              <w:instrText xml:space="preserve"> =SUM(ABOVE) \* MERGEFORMAT </w:instrText>
            </w:r>
            <w:r>
              <w:rPr>
                <w:rFonts w:hint="eastAsia" w:ascii="微软雅黑" w:hAnsi="微软雅黑" w:cs="微软雅黑"/>
                <w:bCs/>
                <w:color w:val="auto"/>
                <w:sz w:val="21"/>
                <w:szCs w:val="21"/>
              </w:rPr>
              <w:fldChar w:fldCharType="separate"/>
            </w:r>
            <w:r>
              <w:rPr>
                <w:rFonts w:hint="eastAsia" w:ascii="微软雅黑" w:hAnsi="微软雅黑" w:cs="微软雅黑"/>
                <w:bCs/>
                <w:color w:val="auto"/>
                <w:sz w:val="21"/>
                <w:szCs w:val="21"/>
              </w:rPr>
              <w:t>100</w:t>
            </w:r>
            <w:r>
              <w:rPr>
                <w:rFonts w:hint="eastAsia" w:ascii="微软雅黑" w:hAnsi="微软雅黑" w:cs="微软雅黑"/>
                <w:bCs/>
                <w:color w:val="auto"/>
                <w:sz w:val="21"/>
                <w:szCs w:val="21"/>
              </w:rPr>
              <w:fldChar w:fldCharType="end"/>
            </w:r>
          </w:p>
        </w:tc>
      </w:tr>
    </w:tbl>
    <w:p>
      <w:pPr>
        <w:spacing w:line="360" w:lineRule="auto"/>
        <w:ind w:firstLine="420" w:firstLineChars="200"/>
        <w:rPr>
          <w:rFonts w:asciiTheme="minorEastAsia" w:hAnsiTheme="minorEastAsia" w:eastAsiaTheme="minorEastAsia"/>
          <w:bCs/>
          <w:color w:val="auto"/>
          <w:sz w:val="21"/>
          <w:szCs w:val="21"/>
        </w:rPr>
      </w:pPr>
    </w:p>
    <w:p>
      <w:pPr>
        <w:spacing w:line="360" w:lineRule="auto"/>
        <w:ind w:firstLine="420" w:firstLineChars="200"/>
        <w:rPr>
          <w:rFonts w:asciiTheme="minorEastAsia" w:hAnsiTheme="minorEastAsia" w:eastAsiaTheme="minorEastAsia"/>
          <w:bCs/>
          <w:color w:val="auto"/>
          <w:sz w:val="21"/>
          <w:szCs w:val="21"/>
        </w:rPr>
      </w:pPr>
    </w:p>
    <w:p>
      <w:pPr>
        <w:rPr>
          <w:rFonts w:hint="eastAsia"/>
          <w:color w:val="auto"/>
        </w:rPr>
      </w:pPr>
    </w:p>
    <w:p>
      <w:pPr>
        <w:rPr>
          <w:rFonts w:hint="eastAsia"/>
          <w:color w:val="auto"/>
        </w:rPr>
      </w:pPr>
    </w:p>
    <w:p>
      <w:pPr>
        <w:pStyle w:val="2"/>
        <w:numPr>
          <w:ilvl w:val="0"/>
          <w:numId w:val="3"/>
        </w:numPr>
        <w:rPr>
          <w:rFonts w:ascii="宋体" w:hAnsi="宋体" w:eastAsia="宋体" w:cs="宋体"/>
          <w:b/>
          <w:bCs/>
          <w:color w:val="auto"/>
          <w:sz w:val="32"/>
          <w:szCs w:val="32"/>
        </w:rPr>
      </w:pPr>
      <w:bookmarkStart w:id="42" w:name="_Toc13969"/>
      <w:r>
        <w:rPr>
          <w:rFonts w:hint="eastAsia" w:ascii="宋体" w:hAnsi="宋体" w:eastAsia="宋体" w:cs="宋体"/>
          <w:b/>
          <w:bCs/>
          <w:color w:val="auto"/>
          <w:sz w:val="32"/>
          <w:szCs w:val="32"/>
        </w:rPr>
        <w:t>拟签订的合同文本</w:t>
      </w:r>
      <w:bookmarkEnd w:id="42"/>
    </w:p>
    <w:p>
      <w:pPr>
        <w:pStyle w:val="14"/>
        <w:spacing w:before="120" w:after="120" w:line="330" w:lineRule="atLeast"/>
        <w:ind w:firstLine="562" w:firstLineChars="200"/>
        <w:jc w:val="center"/>
        <w:rPr>
          <w:color w:val="auto"/>
        </w:rPr>
      </w:pPr>
      <w:r>
        <w:rPr>
          <w:rFonts w:hint="eastAsia" w:hAnsi="宋体" w:eastAsia="宋体"/>
          <w:b/>
          <w:bCs/>
          <w:color w:val="auto"/>
          <w:sz w:val="28"/>
          <w:szCs w:val="32"/>
        </w:rPr>
        <w:t>关于采购          的合同</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甲方：（买方）_________         乙方：（卖方）_________</w:t>
      </w:r>
    </w:p>
    <w:p>
      <w:pPr>
        <w:pStyle w:val="14"/>
        <w:spacing w:before="120" w:after="120" w:line="330" w:lineRule="atLeast"/>
        <w:ind w:firstLine="480" w:firstLineChars="200"/>
        <w:rPr>
          <w:rFonts w:hAnsi="宋体" w:eastAsia="宋体"/>
          <w:color w:val="auto"/>
          <w:sz w:val="24"/>
          <w:szCs w:val="28"/>
          <w:u w:val="single"/>
        </w:rPr>
      </w:pPr>
      <w:r>
        <w:rPr>
          <w:rFonts w:hint="eastAsia" w:hAnsi="宋体" w:eastAsia="宋体"/>
          <w:color w:val="auto"/>
          <w:sz w:val="24"/>
          <w:szCs w:val="28"/>
        </w:rPr>
        <w:t>地址：                          地址：</w:t>
      </w:r>
    </w:p>
    <w:p>
      <w:pPr>
        <w:pStyle w:val="14"/>
        <w:spacing w:before="120" w:after="120" w:line="330" w:lineRule="atLeast"/>
        <w:ind w:firstLine="480" w:firstLineChars="200"/>
        <w:rPr>
          <w:rFonts w:hAnsi="宋体" w:eastAsia="宋体"/>
          <w:color w:val="auto"/>
          <w:sz w:val="24"/>
          <w:szCs w:val="28"/>
        </w:rPr>
      </w:pPr>
      <w:r>
        <w:rPr>
          <w:rFonts w:hint="eastAsia" w:hAnsi="宋体" w:eastAsia="宋体"/>
          <w:color w:val="auto"/>
          <w:sz w:val="24"/>
          <w:szCs w:val="28"/>
        </w:rPr>
        <w:t>联系方式：                      联系方式：</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甲、乙双方根据</w:t>
      </w:r>
      <w:r>
        <w:rPr>
          <w:rFonts w:hint="eastAsia" w:hAnsi="宋体" w:eastAsia="宋体"/>
          <w:color w:val="auto"/>
          <w:sz w:val="24"/>
          <w:szCs w:val="28"/>
        </w:rPr>
        <w:t>南京医科大学</w:t>
      </w:r>
      <w:r>
        <w:rPr>
          <w:rFonts w:hAnsi="宋体" w:eastAsia="宋体"/>
          <w:color w:val="auto"/>
          <w:sz w:val="24"/>
          <w:szCs w:val="28"/>
        </w:rPr>
        <w:t>项目公开招标的结果，</w:t>
      </w:r>
      <w:r>
        <w:rPr>
          <w:rFonts w:hint="eastAsia" w:hAnsi="宋体" w:eastAsia="宋体"/>
          <w:color w:val="auto"/>
          <w:sz w:val="24"/>
          <w:szCs w:val="28"/>
        </w:rPr>
        <w:t>本着自愿及平等互利的原则，就甲方向乙方购买本合同约定的货物事宜，</w:t>
      </w:r>
      <w:r>
        <w:rPr>
          <w:rFonts w:hAnsi="宋体" w:eastAsia="宋体"/>
          <w:color w:val="auto"/>
          <w:sz w:val="24"/>
          <w:szCs w:val="28"/>
        </w:rPr>
        <w:t>签署本合同。</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一、货物内容</w:t>
      </w:r>
      <w:r>
        <w:rPr>
          <w:rFonts w:hint="eastAsia" w:hAnsi="宋体" w:eastAsia="宋体"/>
          <w:b/>
          <w:color w:val="auto"/>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color w:val="auto"/>
                <w:sz w:val="24"/>
                <w:szCs w:val="24"/>
              </w:rPr>
            </w:pPr>
            <w:r>
              <w:rPr>
                <w:rFonts w:hint="eastAsia" w:ascii="宋体" w:hAnsi="宋体" w:eastAsia="宋体"/>
                <w:b/>
                <w:color w:val="auto"/>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color w:val="auto"/>
                <w:sz w:val="24"/>
                <w:szCs w:val="24"/>
              </w:rPr>
            </w:pPr>
            <w:r>
              <w:rPr>
                <w:rFonts w:hint="eastAsia" w:ascii="宋体" w:hAnsi="宋体" w:eastAsia="宋体"/>
                <w:b/>
                <w:color w:val="auto"/>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color w:val="auto"/>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auto"/>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color w:val="auto"/>
                <w:sz w:val="24"/>
                <w:szCs w:val="24"/>
              </w:rPr>
            </w:pPr>
            <w:r>
              <w:rPr>
                <w:rFonts w:hint="eastAsia" w:ascii="宋体" w:hAnsi="宋体" w:eastAsia="宋体"/>
                <w:b/>
                <w:color w:val="auto"/>
                <w:sz w:val="24"/>
                <w:szCs w:val="24"/>
              </w:rPr>
              <w:t>总价（人民币大写）：</w:t>
            </w:r>
            <w:r>
              <w:rPr>
                <w:rFonts w:hint="eastAsia" w:ascii="宋体" w:hAnsi="宋体" w:eastAsia="宋体"/>
                <w:color w:val="auto"/>
                <w:sz w:val="24"/>
                <w:szCs w:val="24"/>
              </w:rPr>
              <w:t>合计（小写）：元</w:t>
            </w:r>
          </w:p>
          <w:p>
            <w:pPr>
              <w:spacing w:line="330" w:lineRule="atLeast"/>
              <w:rPr>
                <w:rFonts w:ascii="宋体" w:hAnsi="宋体" w:eastAsia="宋体"/>
                <w:color w:val="auto"/>
                <w:sz w:val="24"/>
                <w:szCs w:val="24"/>
              </w:rPr>
            </w:pPr>
            <w:r>
              <w:rPr>
                <w:rFonts w:hint="eastAsia" w:ascii="宋体" w:hAnsi="宋体" w:eastAsia="宋体"/>
                <w:color w:val="auto"/>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color w:val="auto"/>
                <w:szCs w:val="24"/>
              </w:rPr>
              <w:t>/售后服务费用。</w:t>
            </w:r>
          </w:p>
        </w:tc>
      </w:tr>
    </w:tbl>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二、</w:t>
      </w:r>
      <w:r>
        <w:rPr>
          <w:rFonts w:hint="eastAsia" w:hAnsi="宋体" w:eastAsia="宋体"/>
          <w:b/>
          <w:color w:val="auto"/>
          <w:sz w:val="24"/>
          <w:szCs w:val="24"/>
        </w:rPr>
        <w:t>结算方式</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r>
        <w:rPr>
          <w:rFonts w:hint="eastAsia" w:hAnsi="宋体" w:eastAsia="宋体"/>
          <w:color w:val="auto"/>
          <w:sz w:val="24"/>
          <w:szCs w:val="28"/>
        </w:rPr>
        <w:t>（请根据实际情况选择和修改）</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B</w:t>
      </w:r>
      <w:r>
        <w:rPr>
          <w:rFonts w:hint="eastAsia" w:hAnsi="宋体" w:eastAsia="宋体"/>
          <w:color w:val="auto"/>
          <w:sz w:val="24"/>
          <w:szCs w:val="28"/>
        </w:rPr>
        <w:t>【进口设备（免税）】</w:t>
      </w:r>
      <w:r>
        <w:rPr>
          <w:rFonts w:hAnsi="宋体" w:eastAsia="宋体"/>
          <w:color w:val="auto"/>
          <w:sz w:val="24"/>
          <w:szCs w:val="28"/>
        </w:rPr>
        <w:t>：根据委托代理进口协议，甲方与外贸代理公司</w:t>
      </w:r>
      <w:r>
        <w:rPr>
          <w:rFonts w:hint="eastAsia" w:hAnsi="宋体" w:eastAsia="宋体"/>
          <w:color w:val="auto"/>
          <w:sz w:val="24"/>
          <w:szCs w:val="28"/>
        </w:rPr>
        <w:t>(</w:t>
      </w:r>
      <w:r>
        <w:rPr>
          <w:rFonts w:hint="eastAsia" w:hAnsi="宋体" w:eastAsia="宋体"/>
          <w:color w:val="auto"/>
          <w:sz w:val="24"/>
          <w:szCs w:val="28"/>
          <w:u w:val="single"/>
        </w:rPr>
        <w:t xml:space="preserve">         </w:t>
      </w:r>
      <w:r>
        <w:rPr>
          <w:rFonts w:hint="eastAsia" w:hAnsi="宋体" w:eastAsia="宋体"/>
          <w:color w:val="auto"/>
          <w:sz w:val="24"/>
          <w:szCs w:val="28"/>
        </w:rPr>
        <w:t>)</w:t>
      </w:r>
      <w:r>
        <w:rPr>
          <w:rFonts w:hAnsi="宋体" w:eastAsia="宋体"/>
          <w:color w:val="auto"/>
          <w:sz w:val="24"/>
          <w:szCs w:val="28"/>
        </w:rPr>
        <w:t>进行结算。</w:t>
      </w:r>
      <w:r>
        <w:rPr>
          <w:rFonts w:hint="eastAsia" w:hAnsi="宋体" w:eastAsia="宋体"/>
          <w:color w:val="auto"/>
          <w:sz w:val="24"/>
          <w:szCs w:val="28"/>
        </w:rPr>
        <w:t>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2.2当采购数量与实际使用数量不一致时，</w:t>
      </w:r>
      <w:r>
        <w:rPr>
          <w:rFonts w:hint="eastAsia" w:hAnsi="宋体" w:eastAsia="宋体"/>
          <w:color w:val="auto"/>
          <w:sz w:val="24"/>
          <w:szCs w:val="28"/>
        </w:rPr>
        <w:t>乙方</w:t>
      </w:r>
      <w:r>
        <w:rPr>
          <w:rFonts w:hAnsi="宋体" w:eastAsia="宋体"/>
          <w:color w:val="auto"/>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2.3乙方</w:t>
      </w:r>
      <w:r>
        <w:rPr>
          <w:rFonts w:hint="eastAsia" w:hAnsi="宋体" w:eastAsia="宋体"/>
          <w:color w:val="auto"/>
          <w:sz w:val="24"/>
          <w:szCs w:val="24"/>
        </w:rPr>
        <w:t>指定账户信息：</w:t>
      </w:r>
    </w:p>
    <w:p>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开户行：</w:t>
      </w:r>
      <w:r>
        <w:rPr>
          <w:rFonts w:hAnsi="宋体" w:eastAsia="宋体"/>
          <w:color w:val="auto"/>
          <w:sz w:val="24"/>
          <w:szCs w:val="24"/>
        </w:rPr>
        <w:t>_______________</w:t>
      </w:r>
      <w:r>
        <w:rPr>
          <w:rFonts w:hint="eastAsia" w:hAnsi="宋体" w:eastAsia="宋体"/>
          <w:color w:val="auto"/>
          <w:sz w:val="24"/>
          <w:szCs w:val="24"/>
          <w:u w:val="single"/>
        </w:rPr>
        <w:t xml:space="preserve">        </w:t>
      </w:r>
    </w:p>
    <w:p>
      <w:pPr>
        <w:pStyle w:val="14"/>
        <w:spacing w:before="120" w:after="120" w:line="330" w:lineRule="atLeast"/>
        <w:ind w:left="440" w:leftChars="200" w:firstLine="120" w:firstLineChars="50"/>
        <w:jc w:val="left"/>
        <w:rPr>
          <w:rFonts w:hAnsi="宋体" w:eastAsia="宋体"/>
          <w:color w:val="auto"/>
          <w:sz w:val="24"/>
          <w:szCs w:val="24"/>
        </w:rPr>
      </w:pPr>
      <w:r>
        <w:rPr>
          <w:rFonts w:hint="eastAsia" w:hAnsi="宋体" w:eastAsia="宋体"/>
          <w:color w:val="auto"/>
          <w:sz w:val="24"/>
          <w:szCs w:val="24"/>
        </w:rPr>
        <w:t xml:space="preserve">户名：  </w:t>
      </w:r>
      <w:r>
        <w:rPr>
          <w:rFonts w:hAnsi="宋体" w:eastAsia="宋体"/>
          <w:color w:val="auto"/>
          <w:sz w:val="24"/>
          <w:szCs w:val="24"/>
        </w:rPr>
        <w:t>_______________</w:t>
      </w:r>
    </w:p>
    <w:p>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 xml:space="preserve">账号：  </w:t>
      </w:r>
      <w:r>
        <w:rPr>
          <w:rFonts w:hAnsi="宋体" w:eastAsia="宋体"/>
          <w:color w:val="auto"/>
          <w:sz w:val="24"/>
          <w:szCs w:val="24"/>
        </w:rPr>
        <w:t>_______________</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三、交付方式、时间及地点</w:t>
      </w:r>
    </w:p>
    <w:p>
      <w:pPr>
        <w:pStyle w:val="14"/>
        <w:snapToGrid w:val="0"/>
        <w:spacing w:before="120" w:after="120" w:line="330" w:lineRule="atLeast"/>
        <w:ind w:firstLine="480" w:firstLineChars="200"/>
        <w:jc w:val="left"/>
        <w:rPr>
          <w:rFonts w:hAnsi="宋体" w:eastAsia="宋体"/>
          <w:color w:val="auto"/>
          <w:sz w:val="24"/>
          <w:szCs w:val="24"/>
          <w:u w:val="single"/>
        </w:rPr>
      </w:pPr>
      <w:r>
        <w:rPr>
          <w:rFonts w:hint="eastAsia" w:hAnsi="宋体" w:eastAsia="宋体"/>
          <w:color w:val="auto"/>
          <w:sz w:val="24"/>
          <w:szCs w:val="24"/>
        </w:rPr>
        <w:t>3.1交付方式：</w:t>
      </w:r>
      <w:r>
        <w:rPr>
          <w:rFonts w:hint="eastAsia" w:hAnsi="宋体" w:eastAsia="宋体"/>
          <w:color w:val="auto"/>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3.1</w:t>
      </w:r>
      <w:r>
        <w:rPr>
          <w:rFonts w:hint="eastAsia" w:hAnsi="宋体" w:eastAsia="宋体"/>
          <w:color w:val="auto"/>
          <w:sz w:val="24"/>
          <w:szCs w:val="24"/>
        </w:rPr>
        <w:t>交付时间：</w:t>
      </w:r>
      <w:r>
        <w:rPr>
          <w:rFonts w:hAnsi="宋体" w:eastAsia="宋体"/>
          <w:color w:val="auto"/>
          <w:sz w:val="24"/>
          <w:szCs w:val="24"/>
        </w:rPr>
        <w:t>___________________</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3.2</w:t>
      </w:r>
      <w:r>
        <w:rPr>
          <w:rFonts w:hint="eastAsia" w:hAnsi="宋体" w:eastAsia="宋体"/>
          <w:color w:val="auto"/>
          <w:sz w:val="24"/>
          <w:szCs w:val="24"/>
        </w:rPr>
        <w:t>交付地点：</w:t>
      </w:r>
      <w:r>
        <w:rPr>
          <w:rFonts w:hAnsi="宋体" w:eastAsia="宋体"/>
          <w:color w:val="auto"/>
          <w:sz w:val="24"/>
          <w:szCs w:val="24"/>
        </w:rPr>
        <w:t>___________________</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四、货物包装、发运及运输</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4.1 乙方应在货物发运前</w:t>
      </w:r>
      <w:r>
        <w:rPr>
          <w:rFonts w:hint="eastAsia" w:hAnsi="宋体" w:eastAsia="宋体"/>
          <w:color w:val="auto"/>
          <w:sz w:val="24"/>
          <w:szCs w:val="24"/>
        </w:rPr>
        <w:t>根据</w:t>
      </w:r>
      <w:r>
        <w:rPr>
          <w:rFonts w:hAnsi="宋体" w:eastAsia="宋体"/>
          <w:color w:val="auto"/>
          <w:sz w:val="24"/>
          <w:szCs w:val="24"/>
        </w:rPr>
        <w:t>运输距离、防潮、防震、防锈和防破损装卸等要求</w:t>
      </w:r>
      <w:r>
        <w:rPr>
          <w:rFonts w:hint="eastAsia" w:hAnsi="宋体" w:eastAsia="宋体"/>
          <w:color w:val="auto"/>
          <w:sz w:val="24"/>
          <w:szCs w:val="24"/>
        </w:rPr>
        <w:t>进行相应的</w:t>
      </w:r>
      <w:r>
        <w:rPr>
          <w:rFonts w:hAnsi="宋体" w:eastAsia="宋体"/>
          <w:color w:val="auto"/>
          <w:sz w:val="24"/>
          <w:szCs w:val="24"/>
        </w:rPr>
        <w:t>包装，以保证货物安全运达甲方指定地点。</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4.4 货物在交付甲方前发生的风险均由乙方负责。</w:t>
      </w:r>
    </w:p>
    <w:p>
      <w:pPr>
        <w:pStyle w:val="14"/>
        <w:spacing w:before="120" w:after="120" w:line="330" w:lineRule="atLeast"/>
        <w:ind w:firstLine="482" w:firstLineChars="200"/>
        <w:rPr>
          <w:rFonts w:hAnsi="宋体" w:eastAsia="宋体"/>
          <w:color w:val="auto"/>
          <w:sz w:val="24"/>
          <w:szCs w:val="24"/>
        </w:rPr>
      </w:pPr>
      <w:r>
        <w:rPr>
          <w:rFonts w:hint="eastAsia" w:hAnsi="宋体" w:eastAsia="宋体"/>
          <w:b/>
          <w:color w:val="auto"/>
          <w:sz w:val="24"/>
          <w:szCs w:val="24"/>
        </w:rPr>
        <w:t>五、</w:t>
      </w:r>
      <w:r>
        <w:rPr>
          <w:rFonts w:hAnsi="宋体" w:eastAsia="宋体"/>
          <w:b/>
          <w:color w:val="auto"/>
          <w:sz w:val="24"/>
          <w:szCs w:val="24"/>
        </w:rPr>
        <w:t>质量保证及售后服务</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5.1 乙方应按招标文件规定的货物性能、技术要求、质量标准向甲方提供全新</w:t>
      </w:r>
      <w:r>
        <w:rPr>
          <w:rFonts w:hint="eastAsia" w:hAnsi="宋体" w:eastAsia="宋体"/>
          <w:color w:val="auto"/>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5.2 乙方提供的货物在</w:t>
      </w:r>
      <w:r>
        <w:rPr>
          <w:rFonts w:hint="eastAsia" w:hAnsi="宋体" w:eastAsia="宋体"/>
          <w:color w:val="auto"/>
          <w:sz w:val="24"/>
          <w:szCs w:val="24"/>
        </w:rPr>
        <w:t>质保期</w:t>
      </w:r>
      <w:r>
        <w:rPr>
          <w:rFonts w:hAnsi="宋体" w:eastAsia="宋体"/>
          <w:color w:val="auto"/>
          <w:sz w:val="24"/>
          <w:szCs w:val="24"/>
        </w:rPr>
        <w:t>内因货物本身的质量问题发生故障，乙方应负责免费更换</w:t>
      </w:r>
      <w:r>
        <w:rPr>
          <w:rFonts w:hint="eastAsia" w:hAnsi="宋体" w:eastAsia="宋体"/>
          <w:color w:val="auto"/>
          <w:sz w:val="24"/>
          <w:szCs w:val="24"/>
        </w:rPr>
        <w:t>，并承担所发生的全部费用</w:t>
      </w:r>
      <w:r>
        <w:rPr>
          <w:rFonts w:hAnsi="宋体" w:eastAsia="宋体"/>
          <w:color w:val="auto"/>
          <w:sz w:val="24"/>
          <w:szCs w:val="24"/>
        </w:rPr>
        <w:t>。</w:t>
      </w:r>
      <w:r>
        <w:rPr>
          <w:rFonts w:hint="eastAsia" w:hAnsi="宋体" w:eastAsia="宋体"/>
          <w:color w:val="auto"/>
          <w:sz w:val="24"/>
          <w:szCs w:val="24"/>
        </w:rPr>
        <w:t>更换后仍</w:t>
      </w:r>
      <w:r>
        <w:rPr>
          <w:rFonts w:hAnsi="宋体" w:eastAsia="宋体"/>
          <w:color w:val="auto"/>
          <w:sz w:val="24"/>
          <w:szCs w:val="24"/>
        </w:rPr>
        <w:t>达不到技术要求</w:t>
      </w:r>
      <w:r>
        <w:rPr>
          <w:rFonts w:hint="eastAsia" w:hAnsi="宋体" w:eastAsia="宋体"/>
          <w:color w:val="auto"/>
          <w:sz w:val="24"/>
          <w:szCs w:val="24"/>
        </w:rPr>
        <w:t>的，</w:t>
      </w:r>
      <w:r>
        <w:rPr>
          <w:rFonts w:hAnsi="宋体" w:eastAsia="宋体"/>
          <w:color w:val="auto"/>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5.3</w:t>
      </w:r>
      <w:r>
        <w:rPr>
          <w:rFonts w:hint="eastAsia" w:hAnsi="宋体" w:eastAsia="宋体"/>
          <w:color w:val="auto"/>
          <w:sz w:val="24"/>
          <w:szCs w:val="24"/>
        </w:rPr>
        <w:t>上述货物的</w:t>
      </w:r>
      <w:r>
        <w:rPr>
          <w:rFonts w:hAnsi="宋体" w:eastAsia="宋体"/>
          <w:color w:val="auto"/>
          <w:sz w:val="24"/>
          <w:szCs w:val="24"/>
        </w:rPr>
        <w:t>质保期</w:t>
      </w:r>
      <w:r>
        <w:rPr>
          <w:rFonts w:hint="eastAsia" w:hAnsi="宋体" w:eastAsia="宋体"/>
          <w:color w:val="auto"/>
          <w:sz w:val="24"/>
          <w:szCs w:val="24"/>
          <w:u w:val="single"/>
        </w:rPr>
        <w:t xml:space="preserve">     </w:t>
      </w:r>
      <w:r>
        <w:rPr>
          <w:rFonts w:hAnsi="宋体" w:eastAsia="宋体"/>
          <w:color w:val="auto"/>
          <w:sz w:val="24"/>
          <w:szCs w:val="24"/>
        </w:rPr>
        <w:t>年（自交货验收合格</w:t>
      </w:r>
      <w:r>
        <w:rPr>
          <w:rFonts w:hint="eastAsia" w:hAnsi="宋体" w:eastAsia="宋体"/>
          <w:color w:val="auto"/>
          <w:sz w:val="24"/>
          <w:szCs w:val="24"/>
        </w:rPr>
        <w:t>次日</w:t>
      </w:r>
      <w:r>
        <w:rPr>
          <w:rFonts w:hAnsi="宋体" w:eastAsia="宋体"/>
          <w:color w:val="auto"/>
          <w:sz w:val="24"/>
          <w:szCs w:val="24"/>
        </w:rPr>
        <w:t>起</w:t>
      </w:r>
      <w:r>
        <w:rPr>
          <w:rFonts w:hint="eastAsia" w:hAnsi="宋体" w:eastAsia="宋体"/>
          <w:color w:val="auto"/>
          <w:sz w:val="24"/>
          <w:szCs w:val="24"/>
        </w:rPr>
        <w:t>计算</w:t>
      </w:r>
      <w:r>
        <w:rPr>
          <w:rFonts w:hAnsi="宋体" w:eastAsia="宋体"/>
          <w:color w:val="auto"/>
          <w:sz w:val="24"/>
          <w:szCs w:val="24"/>
        </w:rPr>
        <w:t>）</w:t>
      </w:r>
      <w:r>
        <w:rPr>
          <w:rFonts w:hAnsi="宋体" w:eastAsia="宋体"/>
          <w:color w:val="auto"/>
          <w:sz w:val="24"/>
          <w:szCs w:val="24"/>
        </w:rPr>
        <w:t>，因人为因素出现的故障不在免费保修范围内。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5.4</w:t>
      </w:r>
      <w:r>
        <w:rPr>
          <w:rFonts w:hint="eastAsia" w:hAnsi="宋体" w:eastAsia="宋体"/>
          <w:color w:val="auto"/>
          <w:sz w:val="24"/>
          <w:szCs w:val="24"/>
        </w:rPr>
        <w:t>在质保期内，</w:t>
      </w:r>
      <w:r>
        <w:rPr>
          <w:rFonts w:hAnsi="宋体" w:eastAsia="宋体"/>
          <w:color w:val="auto"/>
          <w:sz w:val="24"/>
          <w:szCs w:val="24"/>
        </w:rPr>
        <w:t>如在使用过程中发生质量问题，</w:t>
      </w:r>
      <w:r>
        <w:rPr>
          <w:rFonts w:hAnsi="宋体" w:eastAsia="宋体"/>
          <w:color w:val="auto"/>
          <w:sz w:val="24"/>
          <w:szCs w:val="24"/>
        </w:rPr>
        <w:t>乙方在接到甲方通知后在_________小时</w:t>
      </w:r>
      <w:r>
        <w:rPr>
          <w:rFonts w:hint="eastAsia" w:hAnsi="宋体" w:eastAsia="宋体"/>
          <w:color w:val="auto"/>
          <w:sz w:val="24"/>
          <w:szCs w:val="24"/>
        </w:rPr>
        <w:t>内响应，</w:t>
      </w:r>
      <w:r>
        <w:rPr>
          <w:rFonts w:hint="eastAsia" w:hAnsi="宋体" w:eastAsia="宋体"/>
          <w:color w:val="auto"/>
          <w:sz w:val="24"/>
          <w:szCs w:val="24"/>
        </w:rPr>
        <w:t>并在小时内赶到甲方现场，免费予以排除故障、修复或者更换零部件</w:t>
      </w:r>
      <w:r>
        <w:rPr>
          <w:rFonts w:hAnsi="宋体" w:eastAsia="宋体"/>
          <w:color w:val="auto"/>
          <w:sz w:val="24"/>
          <w:szCs w:val="24"/>
        </w:rPr>
        <w:t>。</w:t>
      </w:r>
      <w:r>
        <w:rPr>
          <w:rFonts w:hint="eastAsia" w:hAnsi="宋体" w:eastAsia="宋体"/>
          <w:color w:val="auto"/>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color w:val="auto"/>
          <w:sz w:val="24"/>
          <w:szCs w:val="24"/>
        </w:rPr>
      </w:pPr>
      <w:r>
        <w:rPr>
          <w:rFonts w:hAnsi="宋体" w:eastAsia="宋体"/>
          <w:color w:val="auto"/>
          <w:sz w:val="24"/>
          <w:szCs w:val="24"/>
        </w:rPr>
        <w:t xml:space="preserve">5.6 </w:t>
      </w:r>
      <w:r>
        <w:rPr>
          <w:rFonts w:hint="eastAsia" w:hAnsi="宋体" w:eastAsia="宋体"/>
          <w:color w:val="auto"/>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auto"/>
          <w:sz w:val="24"/>
          <w:szCs w:val="24"/>
        </w:rPr>
        <w:t>。</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六</w:t>
      </w:r>
      <w:r>
        <w:rPr>
          <w:rFonts w:hAnsi="宋体" w:eastAsia="宋体"/>
          <w:b/>
          <w:color w:val="auto"/>
          <w:sz w:val="24"/>
          <w:szCs w:val="24"/>
        </w:rPr>
        <w:t>、调试和验收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6.1 乙方交货前应对</w:t>
      </w:r>
      <w:r>
        <w:rPr>
          <w:rFonts w:hint="eastAsia" w:hAnsi="宋体" w:eastAsia="宋体"/>
          <w:color w:val="auto"/>
          <w:sz w:val="24"/>
          <w:szCs w:val="24"/>
        </w:rPr>
        <w:t>货物</w:t>
      </w:r>
      <w:r>
        <w:rPr>
          <w:rFonts w:hAnsi="宋体" w:eastAsia="宋体"/>
          <w:color w:val="auto"/>
          <w:sz w:val="24"/>
          <w:szCs w:val="24"/>
        </w:rPr>
        <w:t>全面检查</w:t>
      </w:r>
      <w:r>
        <w:rPr>
          <w:rFonts w:hint="eastAsia" w:hAnsi="宋体" w:eastAsia="宋体"/>
          <w:color w:val="auto"/>
          <w:sz w:val="24"/>
          <w:szCs w:val="24"/>
        </w:rPr>
        <w:t>并</w:t>
      </w:r>
      <w:r>
        <w:rPr>
          <w:rFonts w:hAnsi="宋体" w:eastAsia="宋体"/>
          <w:color w:val="auto"/>
          <w:sz w:val="24"/>
          <w:szCs w:val="24"/>
        </w:rPr>
        <w:t>对验收文件进行整理，列出清单</w:t>
      </w:r>
      <w:r>
        <w:rPr>
          <w:rFonts w:hint="eastAsia" w:hAnsi="宋体" w:eastAsia="宋体"/>
          <w:color w:val="auto"/>
          <w:sz w:val="24"/>
          <w:szCs w:val="24"/>
        </w:rPr>
        <w:t>提交甲方</w:t>
      </w:r>
      <w:r>
        <w:rPr>
          <w:rFonts w:hAnsi="宋体" w:eastAsia="宋体"/>
          <w:color w:val="auto"/>
          <w:sz w:val="24"/>
          <w:szCs w:val="24"/>
        </w:rPr>
        <w:t>，检验的结果</w:t>
      </w:r>
      <w:r>
        <w:rPr>
          <w:rFonts w:hint="eastAsia" w:hAnsi="宋体" w:eastAsia="宋体"/>
          <w:color w:val="auto"/>
          <w:sz w:val="24"/>
          <w:szCs w:val="24"/>
        </w:rPr>
        <w:t>亦</w:t>
      </w:r>
      <w:r>
        <w:rPr>
          <w:rFonts w:hAnsi="宋体" w:eastAsia="宋体"/>
          <w:color w:val="auto"/>
          <w:sz w:val="24"/>
          <w:szCs w:val="24"/>
        </w:rPr>
        <w:t>应随货物交甲方。</w:t>
      </w:r>
    </w:p>
    <w:p>
      <w:pPr>
        <w:pStyle w:val="14"/>
        <w:spacing w:before="120" w:after="120" w:line="330" w:lineRule="atLeast"/>
        <w:ind w:firstLine="480" w:firstLineChars="200"/>
        <w:rPr>
          <w:rFonts w:hAnsi="宋体" w:eastAsia="宋体"/>
          <w:color w:val="auto"/>
          <w:sz w:val="24"/>
          <w:szCs w:val="24"/>
          <w:u w:val="single"/>
        </w:rPr>
      </w:pPr>
      <w:r>
        <w:rPr>
          <w:rFonts w:hAnsi="宋体" w:eastAsia="宋体"/>
          <w:color w:val="auto"/>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6.3 </w:t>
      </w:r>
      <w:r>
        <w:rPr>
          <w:rFonts w:hint="eastAsia" w:hAnsi="宋体" w:eastAsia="宋体"/>
          <w:color w:val="auto"/>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6.4 甲方对乙方提交的货物依据招标文件上的技术规格要求和国家有关质量标准进行现场初步验收</w:t>
      </w:r>
      <w:r>
        <w:rPr>
          <w:rFonts w:hint="eastAsia" w:hAnsi="宋体" w:eastAsia="宋体"/>
          <w:color w:val="auto"/>
          <w:sz w:val="24"/>
          <w:szCs w:val="24"/>
        </w:rPr>
        <w:t>。</w:t>
      </w:r>
      <w:r>
        <w:rPr>
          <w:rFonts w:hAnsi="宋体" w:eastAsia="宋体"/>
          <w:color w:val="auto"/>
          <w:sz w:val="24"/>
          <w:szCs w:val="24"/>
        </w:rPr>
        <w:t>外观、说明书符合招标文件技术要求的，给予签收，初步验收不合格的不予签收。货到后，甲方需在10个工作日内</w:t>
      </w:r>
      <w:r>
        <w:rPr>
          <w:rFonts w:hint="eastAsia" w:hAnsi="宋体" w:eastAsia="宋体"/>
          <w:color w:val="auto"/>
          <w:sz w:val="24"/>
          <w:szCs w:val="24"/>
        </w:rPr>
        <w:t>完成初步</w:t>
      </w:r>
      <w:r>
        <w:rPr>
          <w:rFonts w:hAnsi="宋体" w:eastAsia="宋体"/>
          <w:color w:val="auto"/>
          <w:sz w:val="24"/>
          <w:szCs w:val="24"/>
        </w:rPr>
        <w:t>验收。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6.5 </w:t>
      </w:r>
      <w:r>
        <w:rPr>
          <w:rFonts w:hint="eastAsia" w:hAnsi="宋体" w:eastAsia="宋体"/>
          <w:color w:val="auto"/>
          <w:sz w:val="24"/>
          <w:szCs w:val="24"/>
        </w:rPr>
        <w:t>设备、材料安装、调试结束，甲、</w:t>
      </w:r>
      <w:r>
        <w:rPr>
          <w:rFonts w:hAnsi="宋体" w:eastAsia="宋体"/>
          <w:color w:val="auto"/>
          <w:sz w:val="24"/>
          <w:szCs w:val="24"/>
        </w:rPr>
        <w:t>乙</w:t>
      </w:r>
      <w:r>
        <w:rPr>
          <w:rFonts w:hint="eastAsia" w:hAnsi="宋体" w:eastAsia="宋体"/>
          <w:color w:val="auto"/>
          <w:sz w:val="24"/>
          <w:szCs w:val="24"/>
        </w:rPr>
        <w:t>双</w:t>
      </w:r>
      <w:r>
        <w:rPr>
          <w:rFonts w:hAnsi="宋体" w:eastAsia="宋体"/>
          <w:color w:val="auto"/>
          <w:sz w:val="24"/>
          <w:szCs w:val="24"/>
        </w:rPr>
        <w:t>方</w:t>
      </w:r>
      <w:r>
        <w:rPr>
          <w:rFonts w:hint="eastAsia" w:hAnsi="宋体" w:eastAsia="宋体"/>
          <w:color w:val="auto"/>
          <w:sz w:val="24"/>
          <w:szCs w:val="24"/>
        </w:rPr>
        <w:t>派员共同验收</w:t>
      </w:r>
      <w:r>
        <w:rPr>
          <w:rFonts w:hAnsi="宋体" w:eastAsia="宋体"/>
          <w:color w:val="auto"/>
          <w:sz w:val="24"/>
          <w:szCs w:val="24"/>
        </w:rPr>
        <w:t>，</w:t>
      </w:r>
      <w:r>
        <w:rPr>
          <w:rFonts w:hint="eastAsia" w:hAnsi="宋体" w:eastAsia="宋体"/>
          <w:color w:val="auto"/>
          <w:sz w:val="24"/>
          <w:szCs w:val="24"/>
        </w:rPr>
        <w:t>达到验收标准则验收合格。</w:t>
      </w:r>
      <w:r>
        <w:rPr>
          <w:rFonts w:hAnsi="宋体" w:eastAsia="宋体"/>
          <w:color w:val="auto"/>
          <w:sz w:val="24"/>
          <w:szCs w:val="24"/>
        </w:rPr>
        <w:t>验收完毕后</w:t>
      </w:r>
      <w:r>
        <w:rPr>
          <w:rFonts w:hint="eastAsia" w:hAnsi="宋体" w:eastAsia="宋体"/>
          <w:color w:val="auto"/>
          <w:sz w:val="24"/>
          <w:szCs w:val="24"/>
        </w:rPr>
        <w:t>出具</w:t>
      </w:r>
      <w:r>
        <w:rPr>
          <w:rFonts w:hAnsi="宋体" w:eastAsia="宋体"/>
          <w:color w:val="auto"/>
          <w:sz w:val="24"/>
          <w:szCs w:val="24"/>
        </w:rPr>
        <w:t>验收结果报告</w:t>
      </w:r>
      <w:r>
        <w:rPr>
          <w:rFonts w:hint="eastAsia" w:hAnsi="宋体" w:eastAsia="宋体"/>
          <w:color w:val="auto"/>
          <w:sz w:val="24"/>
          <w:szCs w:val="24"/>
        </w:rPr>
        <w:t>并经双方签字确认</w:t>
      </w:r>
      <w:r>
        <w:rPr>
          <w:rFonts w:hAnsi="宋体" w:eastAsia="宋体"/>
          <w:color w:val="auto"/>
          <w:sz w:val="24"/>
          <w:szCs w:val="24"/>
        </w:rPr>
        <w:t>；验收</w:t>
      </w:r>
      <w:r>
        <w:rPr>
          <w:rFonts w:hint="eastAsia" w:hAnsi="宋体" w:eastAsia="宋体"/>
          <w:color w:val="auto"/>
          <w:sz w:val="24"/>
          <w:szCs w:val="24"/>
        </w:rPr>
        <w:t>相关</w:t>
      </w:r>
      <w:r>
        <w:rPr>
          <w:rFonts w:hAnsi="宋体" w:eastAsia="宋体"/>
          <w:color w:val="auto"/>
          <w:sz w:val="24"/>
          <w:szCs w:val="24"/>
        </w:rPr>
        <w:t>费用由</w:t>
      </w:r>
      <w:r>
        <w:rPr>
          <w:rFonts w:hint="eastAsia" w:hAnsi="宋体" w:eastAsia="宋体"/>
          <w:color w:val="auto"/>
          <w:sz w:val="24"/>
          <w:szCs w:val="24"/>
        </w:rPr>
        <w:t>乙方承担。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6.6 对技术复杂的货物，甲方</w:t>
      </w:r>
      <w:r>
        <w:rPr>
          <w:rFonts w:hint="eastAsia" w:hAnsi="宋体" w:eastAsia="宋体"/>
          <w:color w:val="auto"/>
          <w:sz w:val="24"/>
          <w:szCs w:val="24"/>
        </w:rPr>
        <w:t>可聘</w:t>
      </w:r>
      <w:r>
        <w:rPr>
          <w:rFonts w:hAnsi="宋体" w:eastAsia="宋体"/>
          <w:color w:val="auto"/>
          <w:sz w:val="24"/>
          <w:szCs w:val="24"/>
        </w:rPr>
        <w:t>请国家认可的专业检测机构参与初步验收及最终验收，</w:t>
      </w:r>
      <w:r>
        <w:rPr>
          <w:rFonts w:hint="eastAsia" w:hAnsi="宋体" w:eastAsia="宋体"/>
          <w:color w:val="auto"/>
          <w:sz w:val="24"/>
          <w:szCs w:val="24"/>
        </w:rPr>
        <w:t>专业检测机构</w:t>
      </w:r>
      <w:r>
        <w:rPr>
          <w:rFonts w:hAnsi="宋体" w:eastAsia="宋体"/>
          <w:color w:val="auto"/>
          <w:sz w:val="24"/>
          <w:szCs w:val="24"/>
        </w:rPr>
        <w:t>出具</w:t>
      </w:r>
      <w:r>
        <w:rPr>
          <w:rFonts w:hint="eastAsia" w:hAnsi="宋体" w:eastAsia="宋体"/>
          <w:color w:val="auto"/>
          <w:sz w:val="24"/>
          <w:szCs w:val="24"/>
        </w:rPr>
        <w:t>的</w:t>
      </w:r>
      <w:r>
        <w:rPr>
          <w:rFonts w:hAnsi="宋体" w:eastAsia="宋体"/>
          <w:color w:val="auto"/>
          <w:sz w:val="24"/>
          <w:szCs w:val="24"/>
        </w:rPr>
        <w:t>质量检测报告</w:t>
      </w:r>
      <w:r>
        <w:rPr>
          <w:rFonts w:hint="eastAsia" w:hAnsi="宋体" w:eastAsia="宋体"/>
          <w:color w:val="auto"/>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七</w:t>
      </w:r>
      <w:r>
        <w:rPr>
          <w:rFonts w:hAnsi="宋体" w:eastAsia="宋体"/>
          <w:b/>
          <w:color w:val="auto"/>
          <w:sz w:val="24"/>
          <w:szCs w:val="24"/>
        </w:rPr>
        <w:t>、技术资料</w:t>
      </w:r>
    </w:p>
    <w:p>
      <w:pPr>
        <w:pStyle w:val="14"/>
        <w:spacing w:before="120" w:after="120" w:line="330" w:lineRule="atLeast"/>
        <w:ind w:firstLine="480" w:firstLineChars="200"/>
        <w:rPr>
          <w:rFonts w:hAnsi="宋体" w:eastAsia="宋体"/>
          <w:b/>
          <w:color w:val="auto"/>
          <w:sz w:val="24"/>
          <w:szCs w:val="24"/>
        </w:rPr>
      </w:pPr>
      <w:r>
        <w:rPr>
          <w:rFonts w:hAnsi="宋体" w:eastAsia="宋体"/>
          <w:color w:val="auto"/>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7.2 </w:t>
      </w:r>
      <w:r>
        <w:rPr>
          <w:rFonts w:hint="eastAsia" w:hAnsi="宋体" w:eastAsia="宋体"/>
          <w:color w:val="auto"/>
          <w:sz w:val="24"/>
          <w:szCs w:val="24"/>
        </w:rPr>
        <w:t>未经</w:t>
      </w:r>
      <w:r>
        <w:rPr>
          <w:rFonts w:hAnsi="宋体" w:eastAsia="宋体"/>
          <w:color w:val="auto"/>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八</w:t>
      </w:r>
      <w:r>
        <w:rPr>
          <w:rFonts w:hAnsi="宋体" w:eastAsia="宋体"/>
          <w:b/>
          <w:color w:val="auto"/>
          <w:sz w:val="24"/>
          <w:szCs w:val="24"/>
        </w:rPr>
        <w:t>、知识产权</w:t>
      </w:r>
    </w:p>
    <w:p>
      <w:pPr>
        <w:spacing w:line="330" w:lineRule="atLeast"/>
        <w:ind w:firstLine="480" w:firstLineChars="200"/>
        <w:rPr>
          <w:rFonts w:ascii="宋体" w:hAnsi="宋体" w:eastAsia="宋体"/>
          <w:color w:val="auto"/>
          <w:sz w:val="24"/>
          <w:szCs w:val="24"/>
        </w:rPr>
      </w:pPr>
      <w:r>
        <w:rPr>
          <w:rFonts w:ascii="宋体" w:hAnsi="宋体" w:eastAsia="宋体"/>
          <w:color w:val="auto"/>
          <w:sz w:val="24"/>
          <w:szCs w:val="24"/>
        </w:rPr>
        <w:t>乙</w:t>
      </w:r>
      <w:r>
        <w:rPr>
          <w:rFonts w:hint="eastAsia" w:ascii="宋体" w:hAnsi="宋体" w:eastAsia="宋体"/>
          <w:color w:val="auto"/>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九</w:t>
      </w:r>
      <w:r>
        <w:rPr>
          <w:rFonts w:hAnsi="宋体" w:eastAsia="宋体"/>
          <w:b/>
          <w:color w:val="auto"/>
          <w:sz w:val="24"/>
          <w:szCs w:val="24"/>
        </w:rPr>
        <w:t>、违约责任</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9.1 甲方无正当理由拒收货物的，甲方向乙方偿付拒收货款总值的</w:t>
      </w:r>
      <w:r>
        <w:rPr>
          <w:rFonts w:hint="eastAsia" w:hAnsi="宋体" w:eastAsia="宋体"/>
          <w:color w:val="auto"/>
          <w:sz w:val="24"/>
          <w:szCs w:val="24"/>
        </w:rPr>
        <w:t>万</w:t>
      </w:r>
      <w:r>
        <w:rPr>
          <w:rFonts w:hAnsi="宋体" w:eastAsia="宋体"/>
          <w:color w:val="auto"/>
          <w:sz w:val="24"/>
          <w:szCs w:val="24"/>
        </w:rPr>
        <w:t>分之五违约金。</w:t>
      </w:r>
      <w:r>
        <w:rPr>
          <w:rFonts w:hint="eastAsia" w:hAnsi="宋体" w:eastAsia="宋体"/>
          <w:color w:val="auto"/>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9.2 甲方无故</w:t>
      </w:r>
      <w:r>
        <w:rPr>
          <w:rFonts w:hint="eastAsia" w:hAnsi="宋体" w:eastAsia="宋体"/>
          <w:color w:val="auto"/>
          <w:sz w:val="24"/>
          <w:szCs w:val="24"/>
        </w:rPr>
        <w:t>迟延支付货款的</w:t>
      </w:r>
      <w:r>
        <w:rPr>
          <w:rFonts w:hAnsi="宋体" w:eastAsia="宋体"/>
          <w:color w:val="auto"/>
          <w:sz w:val="24"/>
          <w:szCs w:val="24"/>
        </w:rPr>
        <w:t>,甲方应按逾期付款总额每日</w:t>
      </w:r>
      <w:r>
        <w:rPr>
          <w:rFonts w:hint="eastAsia" w:hAnsi="宋体" w:eastAsia="宋体"/>
          <w:color w:val="auto"/>
          <w:sz w:val="24"/>
          <w:szCs w:val="24"/>
        </w:rPr>
        <w:t>万</w:t>
      </w:r>
      <w:r>
        <w:rPr>
          <w:rFonts w:hAnsi="宋体" w:eastAsia="宋体"/>
          <w:color w:val="auto"/>
          <w:sz w:val="24"/>
          <w:szCs w:val="24"/>
        </w:rPr>
        <w:t>分之五向乙方支付违约金。</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9.3 乙方逾期交付货物的，乙方应按逾期交货总额每日</w:t>
      </w:r>
      <w:r>
        <w:rPr>
          <w:rFonts w:hint="eastAsia" w:hAnsi="宋体" w:eastAsia="宋体"/>
          <w:color w:val="auto"/>
          <w:sz w:val="24"/>
          <w:szCs w:val="24"/>
        </w:rPr>
        <w:t>万</w:t>
      </w:r>
      <w:r>
        <w:rPr>
          <w:rFonts w:hAnsi="宋体" w:eastAsia="宋体"/>
          <w:color w:val="auto"/>
          <w:sz w:val="24"/>
          <w:szCs w:val="24"/>
        </w:rPr>
        <w:t>分之</w:t>
      </w:r>
      <w:r>
        <w:rPr>
          <w:rFonts w:hint="eastAsia" w:hAnsi="宋体" w:eastAsia="宋体"/>
          <w:color w:val="auto"/>
          <w:sz w:val="24"/>
          <w:szCs w:val="24"/>
        </w:rPr>
        <w:t>五</w:t>
      </w:r>
      <w:r>
        <w:rPr>
          <w:rFonts w:hAnsi="宋体" w:eastAsia="宋体"/>
          <w:color w:val="auto"/>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9.4 </w:t>
      </w:r>
      <w:r>
        <w:rPr>
          <w:rFonts w:hint="eastAsia" w:hAnsi="宋体" w:eastAsia="宋体"/>
          <w:color w:val="auto"/>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9.6 </w:t>
      </w:r>
      <w:r>
        <w:rPr>
          <w:rFonts w:hint="eastAsia" w:hAnsi="宋体" w:eastAsia="宋体"/>
          <w:color w:val="auto"/>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auto"/>
          <w:sz w:val="24"/>
          <w:szCs w:val="24"/>
        </w:rPr>
        <w:t>10%作为违约金。</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9.7 </w:t>
      </w:r>
      <w:r>
        <w:rPr>
          <w:rFonts w:hint="eastAsia" w:hAnsi="宋体" w:eastAsia="宋体"/>
          <w:color w:val="auto"/>
          <w:sz w:val="24"/>
          <w:szCs w:val="24"/>
        </w:rPr>
        <w:t>本合同所有货物的制造及安装，都必须由乙方自己或投标文件中明确的单位承担，不得分包或者转包给其他单位，否则，</w:t>
      </w:r>
      <w:r>
        <w:rPr>
          <w:rFonts w:hAnsi="宋体" w:eastAsia="宋体"/>
          <w:color w:val="auto"/>
          <w:sz w:val="24"/>
          <w:szCs w:val="24"/>
        </w:rPr>
        <w:t>甲方</w:t>
      </w:r>
      <w:r>
        <w:rPr>
          <w:rFonts w:hint="eastAsia" w:hAnsi="宋体" w:eastAsia="宋体"/>
          <w:color w:val="auto"/>
          <w:sz w:val="24"/>
          <w:szCs w:val="24"/>
        </w:rPr>
        <w:t>有权</w:t>
      </w:r>
      <w:r>
        <w:rPr>
          <w:rFonts w:hAnsi="宋体" w:eastAsia="宋体"/>
          <w:color w:val="auto"/>
          <w:sz w:val="24"/>
          <w:szCs w:val="24"/>
        </w:rPr>
        <w:t>解除本合同，</w:t>
      </w:r>
      <w:r>
        <w:rPr>
          <w:rFonts w:hint="eastAsia" w:hAnsi="宋体" w:eastAsia="宋体"/>
          <w:color w:val="auto"/>
          <w:sz w:val="24"/>
          <w:szCs w:val="24"/>
        </w:rPr>
        <w:t>合同解除后，乙方还应向</w:t>
      </w:r>
      <w:r>
        <w:rPr>
          <w:rFonts w:hAnsi="宋体" w:eastAsia="宋体"/>
          <w:color w:val="auto"/>
          <w:sz w:val="24"/>
          <w:szCs w:val="24"/>
        </w:rPr>
        <w:t>甲方支付合同总值5%的违约金</w:t>
      </w:r>
      <w:r>
        <w:rPr>
          <w:rFonts w:hint="eastAsia" w:hAnsi="宋体" w:eastAsia="宋体"/>
          <w:color w:val="auto"/>
          <w:sz w:val="24"/>
          <w:szCs w:val="24"/>
        </w:rPr>
        <w:t xml:space="preserve">。 </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9.8 </w:t>
      </w:r>
      <w:r>
        <w:rPr>
          <w:rFonts w:hint="eastAsia" w:hAnsi="宋体" w:eastAsia="宋体"/>
          <w:color w:val="auto"/>
          <w:sz w:val="24"/>
          <w:szCs w:val="24"/>
        </w:rPr>
        <w:t>乙方履行义务不符合合同约定时，甲方有权扣减本合同总金额的</w:t>
      </w:r>
      <w:r>
        <w:rPr>
          <w:rFonts w:hAnsi="宋体" w:eastAsia="宋体"/>
          <w:color w:val="auto"/>
          <w:sz w:val="24"/>
          <w:szCs w:val="24"/>
        </w:rPr>
        <w:t>10%的</w:t>
      </w:r>
      <w:r>
        <w:rPr>
          <w:rFonts w:hint="eastAsia" w:hAnsi="宋体" w:eastAsia="宋体"/>
          <w:color w:val="auto"/>
          <w:sz w:val="24"/>
          <w:szCs w:val="24"/>
        </w:rPr>
        <w:t>货款，</w:t>
      </w:r>
      <w:r>
        <w:rPr>
          <w:rFonts w:hAnsi="宋体" w:eastAsia="宋体" w:cs="宋体"/>
          <w:color w:val="auto"/>
          <w:sz w:val="24"/>
          <w:szCs w:val="24"/>
        </w:rPr>
        <w:t>尾款不足</w:t>
      </w:r>
      <w:r>
        <w:rPr>
          <w:rFonts w:hint="eastAsia" w:hAnsi="宋体" w:eastAsia="宋体" w:cs="宋体"/>
          <w:color w:val="auto"/>
          <w:sz w:val="24"/>
          <w:szCs w:val="24"/>
        </w:rPr>
        <w:t>10%的，乙方应当补足</w:t>
      </w:r>
      <w:r>
        <w:rPr>
          <w:rFonts w:hAnsi="宋体" w:eastAsia="宋体"/>
          <w:color w:val="auto"/>
          <w:sz w:val="24"/>
          <w:szCs w:val="24"/>
        </w:rPr>
        <w:t>。</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十</w:t>
      </w:r>
      <w:r>
        <w:rPr>
          <w:rFonts w:hAnsi="宋体" w:eastAsia="宋体"/>
          <w:b/>
          <w:color w:val="auto"/>
          <w:sz w:val="24"/>
          <w:szCs w:val="24"/>
        </w:rPr>
        <w:t>、不可抗力事件处理</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10.2 不可抗力事件发生后</w:t>
      </w:r>
      <w:r>
        <w:rPr>
          <w:rFonts w:hint="eastAsia" w:hAnsi="宋体" w:eastAsia="宋体"/>
          <w:color w:val="auto"/>
          <w:sz w:val="24"/>
          <w:szCs w:val="24"/>
        </w:rPr>
        <w:t>，</w:t>
      </w:r>
      <w:r>
        <w:rPr>
          <w:rFonts w:hAnsi="宋体" w:eastAsia="宋体"/>
          <w:color w:val="auto"/>
          <w:sz w:val="24"/>
          <w:szCs w:val="24"/>
        </w:rPr>
        <w:t>应立即通知对方，并寄送有关权威机构出具的证明。</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一</w:t>
      </w:r>
      <w:r>
        <w:rPr>
          <w:rFonts w:hAnsi="宋体" w:eastAsia="宋体"/>
          <w:b/>
          <w:color w:val="auto"/>
          <w:sz w:val="24"/>
          <w:szCs w:val="24"/>
        </w:rPr>
        <w:t>、诉讼</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双方在执行合同中所发生的一切争议，应通过协商解决。如协商不成，</w:t>
      </w:r>
      <w:r>
        <w:rPr>
          <w:rFonts w:hint="eastAsia" w:hAnsi="宋体" w:eastAsia="宋体"/>
          <w:color w:val="auto"/>
          <w:sz w:val="24"/>
          <w:szCs w:val="24"/>
        </w:rPr>
        <w:t>双方均应</w:t>
      </w:r>
      <w:r>
        <w:rPr>
          <w:rFonts w:hAnsi="宋体" w:eastAsia="宋体"/>
          <w:color w:val="auto"/>
          <w:sz w:val="24"/>
          <w:szCs w:val="24"/>
        </w:rPr>
        <w:t>向</w:t>
      </w:r>
      <w:r>
        <w:rPr>
          <w:rFonts w:hint="eastAsia" w:hAnsi="宋体" w:eastAsia="宋体"/>
          <w:color w:val="auto"/>
          <w:sz w:val="24"/>
          <w:szCs w:val="24"/>
        </w:rPr>
        <w:t>甲方所在地人民法院提起诉讼。</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二</w:t>
      </w:r>
      <w:r>
        <w:rPr>
          <w:rFonts w:hAnsi="宋体" w:eastAsia="宋体"/>
          <w:b/>
          <w:color w:val="auto"/>
          <w:sz w:val="24"/>
          <w:szCs w:val="24"/>
        </w:rPr>
        <w:t>、合同生效及其它</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12.1</w:t>
      </w:r>
      <w:r>
        <w:rPr>
          <w:rFonts w:hint="eastAsia" w:hAnsi="宋体" w:eastAsia="宋体"/>
          <w:color w:val="auto"/>
          <w:sz w:val="24"/>
          <w:szCs w:val="24"/>
        </w:rPr>
        <w:t>招投标文件作为合同的附件，与本合同具有同等法律效力。</w:t>
      </w:r>
      <w:r>
        <w:rPr>
          <w:rFonts w:hAnsi="宋体" w:eastAsia="宋体"/>
          <w:color w:val="auto"/>
          <w:sz w:val="24"/>
          <w:szCs w:val="24"/>
        </w:rPr>
        <w:t>合同经双方法定代表人或授权委托代</w:t>
      </w:r>
      <w:r>
        <w:rPr>
          <w:rFonts w:hint="eastAsia" w:hAnsi="宋体" w:eastAsia="宋体"/>
          <w:color w:val="auto"/>
          <w:sz w:val="24"/>
          <w:szCs w:val="24"/>
        </w:rPr>
        <w:t>表</w:t>
      </w:r>
      <w:r>
        <w:rPr>
          <w:rFonts w:hAnsi="宋体" w:eastAsia="宋体"/>
          <w:color w:val="auto"/>
          <w:sz w:val="24"/>
          <w:szCs w:val="24"/>
        </w:rPr>
        <w:t>人签字</w:t>
      </w:r>
      <w:r>
        <w:rPr>
          <w:rFonts w:hint="eastAsia" w:hAnsi="宋体" w:eastAsia="宋体"/>
          <w:color w:val="auto"/>
          <w:sz w:val="24"/>
          <w:szCs w:val="24"/>
        </w:rPr>
        <w:t>、盖章</w:t>
      </w:r>
      <w:r>
        <w:rPr>
          <w:rFonts w:hAnsi="宋体" w:eastAsia="宋体"/>
          <w:color w:val="auto"/>
          <w:sz w:val="24"/>
          <w:szCs w:val="24"/>
        </w:rPr>
        <w:t>后生效。</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12.2本合同未尽事宜，遵照《</w:t>
      </w:r>
      <w:r>
        <w:rPr>
          <w:rFonts w:hint="eastAsia" w:hAnsi="宋体" w:eastAsia="宋体"/>
          <w:color w:val="auto"/>
          <w:sz w:val="24"/>
          <w:szCs w:val="24"/>
        </w:rPr>
        <w:t>中华人民共和国民法典</w:t>
      </w:r>
      <w:r>
        <w:rPr>
          <w:rFonts w:hAnsi="宋体" w:eastAsia="宋体"/>
          <w:color w:val="auto"/>
          <w:sz w:val="24"/>
          <w:szCs w:val="24"/>
        </w:rPr>
        <w:t>》有关条文执行。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12.3 本合同正本一式</w:t>
      </w:r>
      <w:r>
        <w:rPr>
          <w:rFonts w:hint="eastAsia" w:hAnsi="宋体" w:eastAsia="宋体"/>
          <w:color w:val="auto"/>
          <w:sz w:val="24"/>
          <w:szCs w:val="24"/>
        </w:rPr>
        <w:t>陆</w:t>
      </w:r>
      <w:r>
        <w:rPr>
          <w:rFonts w:hAnsi="宋体" w:eastAsia="宋体"/>
          <w:color w:val="auto"/>
          <w:sz w:val="24"/>
          <w:szCs w:val="24"/>
        </w:rPr>
        <w:t>份，</w:t>
      </w:r>
      <w:r>
        <w:rPr>
          <w:rFonts w:hint="eastAsia" w:hAnsi="宋体" w:eastAsia="宋体"/>
          <w:color w:val="auto"/>
          <w:sz w:val="24"/>
          <w:szCs w:val="24"/>
        </w:rPr>
        <w:t>甲方伍份，乙方壹份，</w:t>
      </w:r>
      <w:r>
        <w:rPr>
          <w:rFonts w:hAnsi="宋体" w:eastAsia="宋体"/>
          <w:color w:val="auto"/>
          <w:sz w:val="24"/>
          <w:szCs w:val="24"/>
        </w:rPr>
        <w:t>具有同等法律效力。</w:t>
      </w:r>
    </w:p>
    <w:p>
      <w:pPr>
        <w:pStyle w:val="33"/>
        <w:ind w:firstLineChars="200"/>
        <w:rPr>
          <w:rFonts w:ascii="宋体" w:hAnsi="宋体" w:cs="Courier New"/>
          <w:color w:val="auto"/>
          <w:kern w:val="2"/>
        </w:rPr>
      </w:pPr>
      <w:r>
        <w:rPr>
          <w:rFonts w:ascii="宋体" w:hAnsi="宋体" w:cs="Courier New"/>
          <w:color w:val="auto"/>
          <w:kern w:val="2"/>
        </w:rPr>
        <w:t xml:space="preserve">12.4 </w:t>
      </w:r>
      <w:r>
        <w:rPr>
          <w:rFonts w:hint="eastAsia" w:ascii="宋体" w:hAnsi="宋体" w:cs="Courier New"/>
          <w:color w:val="auto"/>
          <w:kern w:val="2"/>
        </w:rPr>
        <w:t>合同签订地点：江苏省南京市。</w:t>
      </w:r>
    </w:p>
    <w:p>
      <w:pPr>
        <w:pStyle w:val="14"/>
        <w:spacing w:before="120" w:after="120" w:line="400" w:lineRule="exact"/>
        <w:rPr>
          <w:rFonts w:hAnsi="宋体" w:eastAsia="宋体"/>
          <w:color w:val="auto"/>
          <w:sz w:val="24"/>
          <w:szCs w:val="28"/>
        </w:rPr>
      </w:pPr>
      <w:r>
        <w:rPr>
          <w:rFonts w:hAnsi="宋体" w:eastAsia="宋体"/>
          <w:color w:val="auto"/>
          <w:sz w:val="24"/>
          <w:szCs w:val="28"/>
        </w:rPr>
        <w:t xml:space="preserve">甲方： </w:t>
      </w:r>
      <w:r>
        <w:rPr>
          <w:rFonts w:hint="eastAsia" w:hAnsi="宋体" w:eastAsia="宋体"/>
          <w:color w:val="auto"/>
          <w:sz w:val="24"/>
          <w:szCs w:val="28"/>
        </w:rPr>
        <w:t>南京医科大学</w:t>
      </w:r>
      <w:r>
        <w:rPr>
          <w:rFonts w:hAnsi="宋体" w:eastAsia="宋体"/>
          <w:color w:val="auto"/>
          <w:sz w:val="24"/>
          <w:szCs w:val="28"/>
        </w:rPr>
        <w:t xml:space="preserve">                         乙方： </w:t>
      </w:r>
    </w:p>
    <w:p>
      <w:pPr>
        <w:pStyle w:val="14"/>
        <w:spacing w:before="120" w:after="120" w:line="400" w:lineRule="exact"/>
        <w:rPr>
          <w:rFonts w:hAnsi="宋体" w:eastAsia="宋体"/>
          <w:color w:val="auto"/>
          <w:sz w:val="24"/>
          <w:szCs w:val="28"/>
        </w:rPr>
      </w:pPr>
      <w:r>
        <w:rPr>
          <w:rFonts w:hAnsi="宋体" w:eastAsia="宋体"/>
          <w:color w:val="auto"/>
          <w:sz w:val="24"/>
          <w:szCs w:val="28"/>
        </w:rPr>
        <w:t>地址：</w:t>
      </w:r>
      <w:r>
        <w:rPr>
          <w:rFonts w:hint="eastAsia" w:hAnsi="宋体" w:eastAsia="宋体"/>
          <w:color w:val="auto"/>
          <w:sz w:val="24"/>
          <w:szCs w:val="28"/>
        </w:rPr>
        <w:t>南京市江宁区龙眠大道</w:t>
      </w:r>
      <w:r>
        <w:rPr>
          <w:rFonts w:hAnsi="宋体" w:eastAsia="宋体"/>
          <w:color w:val="auto"/>
          <w:sz w:val="24"/>
          <w:szCs w:val="28"/>
        </w:rPr>
        <w:t xml:space="preserve">101号            地址： </w:t>
      </w:r>
    </w:p>
    <w:p>
      <w:pPr>
        <w:pStyle w:val="14"/>
        <w:spacing w:before="120" w:after="120" w:line="400" w:lineRule="exact"/>
        <w:rPr>
          <w:rFonts w:hAnsi="宋体" w:eastAsia="宋体"/>
          <w:color w:val="auto"/>
          <w:sz w:val="24"/>
          <w:szCs w:val="28"/>
        </w:rPr>
      </w:pPr>
      <w:r>
        <w:rPr>
          <w:rFonts w:hAnsi="宋体" w:eastAsia="宋体"/>
          <w:color w:val="auto"/>
          <w:sz w:val="24"/>
          <w:szCs w:val="28"/>
        </w:rPr>
        <w:t>法定代表人</w:t>
      </w:r>
      <w:r>
        <w:rPr>
          <w:rFonts w:hint="eastAsia" w:hAnsi="宋体" w:eastAsia="宋体"/>
          <w:color w:val="auto"/>
          <w:sz w:val="24"/>
          <w:szCs w:val="28"/>
        </w:rPr>
        <w:t>或授权代表</w:t>
      </w:r>
      <w:r>
        <w:rPr>
          <w:rFonts w:hAnsi="宋体" w:eastAsia="宋体"/>
          <w:color w:val="auto"/>
          <w:sz w:val="24"/>
          <w:szCs w:val="28"/>
        </w:rPr>
        <w:t>：                      法定代表人</w:t>
      </w:r>
      <w:r>
        <w:rPr>
          <w:rFonts w:hint="eastAsia" w:hAnsi="宋体" w:eastAsia="宋体"/>
          <w:color w:val="auto"/>
          <w:sz w:val="24"/>
          <w:szCs w:val="28"/>
        </w:rPr>
        <w:t>或授权代表</w:t>
      </w:r>
      <w:r>
        <w:rPr>
          <w:rFonts w:hAnsi="宋体" w:eastAsia="宋体"/>
          <w:color w:val="auto"/>
          <w:sz w:val="24"/>
          <w:szCs w:val="28"/>
        </w:rPr>
        <w:t>：</w:t>
      </w:r>
    </w:p>
    <w:p>
      <w:pPr>
        <w:pStyle w:val="14"/>
        <w:spacing w:before="120" w:after="120" w:line="400" w:lineRule="exact"/>
        <w:rPr>
          <w:rFonts w:hAnsi="宋体" w:eastAsia="宋体"/>
          <w:color w:val="auto"/>
          <w:sz w:val="24"/>
          <w:szCs w:val="28"/>
        </w:rPr>
      </w:pPr>
      <w:r>
        <w:rPr>
          <w:rFonts w:hint="eastAsia" w:hAnsi="宋体" w:eastAsia="宋体"/>
          <w:color w:val="auto"/>
          <w:sz w:val="24"/>
          <w:szCs w:val="28"/>
        </w:rPr>
        <w:t>联系电话：                                  联系电话：</w:t>
      </w:r>
    </w:p>
    <w:p>
      <w:pPr>
        <w:pStyle w:val="22"/>
        <w:spacing w:line="400" w:lineRule="exact"/>
        <w:ind w:firstLine="0" w:firstLineChars="0"/>
        <w:rPr>
          <w:color w:val="auto"/>
        </w:rPr>
      </w:pPr>
      <w:r>
        <w:rPr>
          <w:rFonts w:hint="eastAsia" w:ascii="宋体" w:hAnsi="宋体" w:cs="Times New Roman"/>
          <w:color w:val="auto"/>
          <w:kern w:val="0"/>
          <w:sz w:val="24"/>
          <w:szCs w:val="28"/>
        </w:rPr>
        <w:t>签订日期：   年    月    日               签订日期：   年    月    日</w:t>
      </w:r>
    </w:p>
    <w:p>
      <w:pPr>
        <w:pStyle w:val="2"/>
        <w:pageBreakBefore/>
        <w:spacing w:line="360" w:lineRule="auto"/>
        <w:rPr>
          <w:rFonts w:asciiTheme="majorEastAsia" w:hAnsiTheme="majorEastAsia" w:eastAsiaTheme="majorEastAsia" w:cstheme="minorBidi"/>
          <w:b/>
          <w:color w:val="auto"/>
          <w:kern w:val="0"/>
          <w:sz w:val="36"/>
          <w:szCs w:val="36"/>
        </w:rPr>
      </w:pPr>
      <w:bookmarkStart w:id="43" w:name="_Toc14881"/>
      <w:r>
        <w:rPr>
          <w:rFonts w:hint="eastAsia" w:asciiTheme="majorEastAsia" w:hAnsiTheme="majorEastAsia" w:eastAsiaTheme="majorEastAsia" w:cstheme="minorBidi"/>
          <w:b/>
          <w:color w:val="auto"/>
          <w:kern w:val="0"/>
          <w:sz w:val="32"/>
          <w:szCs w:val="32"/>
        </w:rPr>
        <w:t>第六章  投标文件格式</w:t>
      </w:r>
      <w:bookmarkEnd w:id="43"/>
      <w:r>
        <w:rPr>
          <w:rFonts w:hint="eastAsia" w:asciiTheme="majorEastAsia" w:hAnsiTheme="majorEastAsia" w:eastAsiaTheme="majorEastAsia" w:cstheme="minorBidi"/>
          <w:b/>
          <w:color w:val="auto"/>
          <w:kern w:val="0"/>
          <w:sz w:val="36"/>
          <w:szCs w:val="36"/>
        </w:rPr>
        <w:t xml:space="preserve"> </w:t>
      </w:r>
    </w:p>
    <w:p>
      <w:pPr>
        <w:spacing w:line="360" w:lineRule="auto"/>
        <w:jc w:val="center"/>
        <w:rPr>
          <w:rFonts w:asciiTheme="majorEastAsia" w:hAnsiTheme="majorEastAsia" w:eastAsiaTheme="majorEastAsia"/>
          <w:b/>
          <w:color w:val="auto"/>
          <w:sz w:val="36"/>
          <w:szCs w:val="36"/>
        </w:rPr>
      </w:pPr>
      <w:bookmarkStart w:id="44" w:name="_Hlt26955039"/>
      <w:bookmarkEnd w:id="44"/>
      <w:bookmarkStart w:id="45" w:name="_Hlt26671244"/>
      <w:bookmarkEnd w:id="45"/>
      <w:bookmarkStart w:id="46" w:name="_Toc49090576"/>
      <w:bookmarkStart w:id="47" w:name="_Toc120614282"/>
      <w:bookmarkStart w:id="48" w:name="_Toc26554094"/>
    </w:p>
    <w:p>
      <w:pPr>
        <w:spacing w:line="360" w:lineRule="auto"/>
        <w:jc w:val="center"/>
        <w:rPr>
          <w:rFonts w:ascii="微软雅黑" w:hAnsi="微软雅黑" w:cs="微软雅黑"/>
          <w:b/>
          <w:color w:val="auto"/>
          <w:sz w:val="44"/>
          <w:szCs w:val="44"/>
        </w:rPr>
      </w:pPr>
      <w:r>
        <w:rPr>
          <w:rFonts w:hint="eastAsia" w:ascii="微软雅黑" w:hAnsi="微软雅黑" w:cs="微软雅黑"/>
          <w:b/>
          <w:color w:val="auto"/>
          <w:sz w:val="44"/>
          <w:szCs w:val="44"/>
        </w:rPr>
        <w:t>投  标  文  件</w:t>
      </w: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ind w:firstLine="840" w:firstLineChars="300"/>
        <w:rPr>
          <w:rFonts w:ascii="微软雅黑" w:hAnsi="微软雅黑" w:cs="微软雅黑"/>
          <w:b/>
          <w:color w:val="auto"/>
          <w:sz w:val="28"/>
          <w:szCs w:val="28"/>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240665</wp:posOffset>
                </wp:positionV>
                <wp:extent cx="3389630" cy="635"/>
                <wp:effectExtent l="11430" t="12065" r="8890" b="635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0288;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xnK9gAAAAJAQAADwAAAAAAAAABACAAAAAiAAAAZHJz&#10;L2Rvd25yZXYueG1sUEsBAhQAFAAAAAgAh07iQAj683/LAQAAoQMAAA4AAAAAAAAAAQAgAAAAJwEA&#10;AGRycy9lMm9Eb2MueG1sUEsFBgAAAAAGAAYAWQEAAGQFA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名 称：</w:t>
      </w:r>
    </w:p>
    <w:p>
      <w:pPr>
        <w:spacing w:line="360" w:lineRule="auto"/>
        <w:ind w:firstLine="840" w:firstLineChars="300"/>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1312;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VnGTYAAAACQEAAA8AAAAAAAAAAQAgAAAAIgAAAGRy&#10;cy9kb3ducmV2LnhtbFBLAQIUABQAAAAIAIdO4kApCYN8zAEAAKEDAAAOAAAAAAAAAAEAIAAAACcB&#10;AABkcnMvZTJvRG9jLnhtbFBLBQYAAAAABgAGAFkBAABlBQ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编 号：</w:t>
      </w:r>
    </w:p>
    <w:p>
      <w:pPr>
        <w:spacing w:line="360" w:lineRule="auto"/>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1617345</wp:posOffset>
                </wp:positionH>
                <wp:positionV relativeFrom="paragraph">
                  <wp:posOffset>337185</wp:posOffset>
                </wp:positionV>
                <wp:extent cx="3389630" cy="635"/>
                <wp:effectExtent l="7620" t="13335" r="12700" b="508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2336;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&#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otug2AAAAAkBAAAPAAAAAAAAAAEAIAAAACIAAABk&#10;cnMvZG93bnJldi54bWxQSwECFAAUAAAACACHTuJAmeXVws0BAACiAwAADgAAAAAAAAABACAAAAAn&#10;AQAAZHJzL2Uyb0RvYy54bWxQSwUGAAAAAAYABgBZAQAAZgU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 xml:space="preserve">          投标人名称 ：</w:t>
      </w:r>
    </w:p>
    <w:p>
      <w:pPr>
        <w:spacing w:line="360" w:lineRule="auto"/>
        <w:rPr>
          <w:rFonts w:ascii="微软雅黑" w:hAnsi="微软雅黑" w:cs="微软雅黑"/>
          <w:b/>
          <w:color w:val="auto"/>
          <w:sz w:val="28"/>
          <w:szCs w:val="28"/>
        </w:rPr>
      </w:pPr>
      <w:r>
        <w:rPr>
          <w:rFonts w:hint="eastAsia" w:ascii="微软雅黑" w:hAnsi="微软雅黑" w:cs="微软雅黑"/>
          <w:b/>
          <w:color w:val="auto"/>
          <w:sz w:val="28"/>
          <w:szCs w:val="28"/>
        </w:rPr>
        <w:t xml:space="preserve">     </w:t>
      </w:r>
    </w:p>
    <w:p>
      <w:pPr>
        <w:spacing w:line="360" w:lineRule="auto"/>
        <w:rPr>
          <w:rFonts w:ascii="微软雅黑" w:hAnsi="微软雅黑" w:cs="微软雅黑"/>
          <w:b/>
          <w:color w:val="auto"/>
          <w:sz w:val="28"/>
          <w:szCs w:val="28"/>
        </w:rPr>
      </w:pPr>
    </w:p>
    <w:p>
      <w:pPr>
        <w:spacing w:line="360" w:lineRule="auto"/>
        <w:rPr>
          <w:rFonts w:ascii="微软雅黑" w:hAnsi="微软雅黑" w:cs="微软雅黑"/>
          <w:b/>
          <w:color w:val="auto"/>
          <w:sz w:val="28"/>
          <w:szCs w:val="28"/>
        </w:rPr>
      </w:pPr>
    </w:p>
    <w:p>
      <w:pPr>
        <w:spacing w:line="360" w:lineRule="auto"/>
        <w:jc w:val="center"/>
        <w:rPr>
          <w:rFonts w:ascii="微软雅黑" w:hAnsi="微软雅黑" w:cs="微软雅黑"/>
          <w:b/>
          <w:color w:val="auto"/>
          <w:sz w:val="28"/>
          <w:szCs w:val="28"/>
        </w:rPr>
      </w:pPr>
      <w:r>
        <w:rPr>
          <w:rFonts w:hint="eastAsia" w:ascii="微软雅黑" w:hAnsi="微软雅黑" w:cs="微软雅黑"/>
          <w:b/>
          <w:color w:val="auto"/>
          <w:sz w:val="28"/>
          <w:szCs w:val="28"/>
        </w:rPr>
        <w:t>年    月    日</w:t>
      </w:r>
    </w:p>
    <w:p>
      <w:pPr>
        <w:spacing w:line="360" w:lineRule="auto"/>
        <w:jc w:val="center"/>
        <w:rPr>
          <w:rFonts w:ascii="宋体" w:hAnsi="宋体" w:eastAsia="宋体" w:cs="宋体"/>
          <w:b/>
          <w:bCs/>
          <w:color w:val="auto"/>
          <w:sz w:val="24"/>
          <w:szCs w:val="24"/>
        </w:rPr>
      </w:pPr>
    </w:p>
    <w:p>
      <w:pPr>
        <w:spacing w:line="360" w:lineRule="auto"/>
        <w:ind w:firstLine="480" w:firstLineChars="200"/>
        <w:rPr>
          <w:rFonts w:ascii="宋体" w:hAnsi="宋体" w:eastAsia="宋体" w:cs="宋体"/>
          <w:color w:val="auto"/>
          <w:sz w:val="24"/>
          <w:szCs w:val="24"/>
        </w:rPr>
      </w:pPr>
    </w:p>
    <w:p>
      <w:pPr>
        <w:pStyle w:val="33"/>
        <w:ind w:firstLine="0"/>
        <w:jc w:val="center"/>
        <w:rPr>
          <w:rFonts w:ascii="宋体" w:hAnsi="宋体" w:cs="宋体"/>
          <w:b/>
          <w:bCs/>
          <w:color w:val="auto"/>
          <w:sz w:val="36"/>
          <w:szCs w:val="36"/>
        </w:rPr>
      </w:pPr>
      <w:r>
        <w:rPr>
          <w:rFonts w:hint="eastAsia" w:ascii="宋体" w:hAnsi="宋体" w:cs="宋体"/>
          <w:b/>
          <w:bCs/>
          <w:color w:val="auto"/>
          <w:sz w:val="36"/>
          <w:szCs w:val="36"/>
        </w:rPr>
        <w:t>目  录</w:t>
      </w: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r>
        <w:rPr>
          <w:rFonts w:hint="eastAsia" w:ascii="宋体" w:hAnsi="宋体" w:cs="宋体"/>
          <w:b/>
          <w:bCs/>
          <w:color w:val="auto"/>
        </w:rPr>
        <w:t>附件一</w:t>
      </w:r>
      <w:bookmarkStart w:id="49" w:name="_Toc517190894"/>
    </w:p>
    <w:p>
      <w:pPr>
        <w:pStyle w:val="33"/>
        <w:ind w:firstLine="0"/>
        <w:jc w:val="center"/>
        <w:rPr>
          <w:rFonts w:ascii="宋体" w:hAnsi="宋体" w:cs="宋体"/>
          <w:b/>
          <w:color w:val="auto"/>
          <w:sz w:val="28"/>
          <w:szCs w:val="28"/>
        </w:rPr>
      </w:pPr>
      <w:r>
        <w:rPr>
          <w:rFonts w:hint="eastAsia" w:ascii="宋体" w:hAnsi="宋体" w:cs="宋体"/>
          <w:b/>
          <w:color w:val="auto"/>
          <w:sz w:val="28"/>
          <w:szCs w:val="28"/>
        </w:rPr>
        <w:t>投标函</w:t>
      </w:r>
      <w:bookmarkEnd w:id="49"/>
    </w:p>
    <w:p>
      <w:pPr>
        <w:pStyle w:val="33"/>
        <w:spacing w:before="0" w:after="0"/>
        <w:ind w:firstLine="0"/>
        <w:rPr>
          <w:rFonts w:ascii="宋体" w:hAnsi="宋体" w:cs="宋体"/>
          <w:color w:val="auto"/>
          <w:kern w:val="2"/>
        </w:rPr>
      </w:pPr>
      <w:r>
        <w:rPr>
          <w:rFonts w:hint="eastAsia" w:ascii="宋体" w:hAnsi="宋体" w:cs="宋体"/>
          <w:color w:val="auto"/>
          <w:kern w:val="2"/>
        </w:rPr>
        <w:t>致：南京医科大学</w:t>
      </w:r>
    </w:p>
    <w:p>
      <w:pPr>
        <w:pStyle w:val="33"/>
        <w:spacing w:before="0" w:after="0"/>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pPr>
        <w:pStyle w:val="33"/>
        <w:spacing w:before="0" w:after="0"/>
        <w:ind w:firstLineChars="200"/>
        <w:rPr>
          <w:rFonts w:ascii="宋体" w:hAnsi="宋体" w:cs="宋体"/>
          <w:color w:val="auto"/>
          <w:kern w:val="2"/>
        </w:rPr>
      </w:pPr>
      <w:r>
        <w:rPr>
          <w:rFonts w:hint="eastAsia" w:ascii="宋体" w:hAnsi="宋体" w:cs="宋体"/>
          <w:color w:val="auto"/>
          <w:kern w:val="2"/>
        </w:rPr>
        <w:t>据此函，我公司宣布同意如下：</w:t>
      </w:r>
    </w:p>
    <w:p>
      <w:pPr>
        <w:pStyle w:val="33"/>
        <w:spacing w:before="0" w:after="0"/>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pPr>
        <w:pStyle w:val="33"/>
        <w:spacing w:before="0" w:after="0"/>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pPr>
        <w:pStyle w:val="33"/>
        <w:spacing w:before="0" w:after="0"/>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pPr>
        <w:pStyle w:val="33"/>
        <w:spacing w:before="0" w:after="0"/>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pPr>
        <w:pStyle w:val="33"/>
        <w:spacing w:before="0" w:after="0"/>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pPr>
        <w:pStyle w:val="33"/>
        <w:spacing w:before="0" w:after="0"/>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pPr>
        <w:pStyle w:val="33"/>
        <w:spacing w:before="0" w:after="0"/>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pPr>
        <w:pStyle w:val="33"/>
        <w:spacing w:before="0" w:after="0"/>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地址：</w:t>
      </w:r>
    </w:p>
    <w:p>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邮编：                           电话：</w:t>
      </w:r>
    </w:p>
    <w:p>
      <w:pPr>
        <w:pStyle w:val="33"/>
        <w:spacing w:before="0" w:after="0"/>
        <w:ind w:left="440" w:leftChars="200" w:firstLine="482" w:firstLineChars="200"/>
        <w:rPr>
          <w:rFonts w:ascii="宋体" w:hAnsi="宋体" w:cs="宋体"/>
          <w:b/>
          <w:color w:val="auto"/>
          <w:kern w:val="2"/>
          <w:u w:val="single"/>
        </w:rPr>
      </w:pPr>
    </w:p>
    <w:p>
      <w:pPr>
        <w:pStyle w:val="33"/>
        <w:spacing w:before="0" w:after="0"/>
        <w:ind w:left="440" w:leftChars="200" w:firstLine="482" w:firstLineChars="200"/>
        <w:rPr>
          <w:rFonts w:ascii="宋体" w:hAnsi="宋体" w:cs="宋体"/>
          <w:b/>
          <w:color w:val="auto"/>
          <w:kern w:val="2"/>
          <w:u w:val="single"/>
        </w:rPr>
      </w:pPr>
    </w:p>
    <w:p>
      <w:pPr>
        <w:pStyle w:val="33"/>
        <w:spacing w:before="0" w:after="0"/>
        <w:rPr>
          <w:rFonts w:ascii="宋体" w:hAnsi="宋体" w:cs="宋体"/>
          <w:color w:val="auto"/>
          <w:kern w:val="2"/>
        </w:rPr>
      </w:pPr>
      <w:r>
        <w:rPr>
          <w:rFonts w:hint="eastAsia" w:ascii="宋体" w:hAnsi="宋体" w:cs="宋体"/>
          <w:color w:val="auto"/>
          <w:kern w:val="2"/>
        </w:rPr>
        <w:t xml:space="preserve">投标人授权代表（签字）：  </w:t>
      </w:r>
    </w:p>
    <w:p>
      <w:pPr>
        <w:pStyle w:val="33"/>
        <w:spacing w:before="0" w:after="0"/>
        <w:rPr>
          <w:rFonts w:ascii="宋体" w:hAnsi="宋体" w:cs="宋体"/>
          <w:color w:val="auto"/>
          <w:kern w:val="2"/>
        </w:rPr>
      </w:pPr>
      <w:r>
        <w:rPr>
          <w:rFonts w:hint="eastAsia" w:ascii="宋体" w:hAnsi="宋体" w:cs="宋体"/>
          <w:color w:val="auto"/>
          <w:kern w:val="2"/>
        </w:rPr>
        <w:t>法定代表人（签字）：</w:t>
      </w:r>
    </w:p>
    <w:p>
      <w:pPr>
        <w:pStyle w:val="33"/>
        <w:spacing w:before="0" w:after="0"/>
        <w:rPr>
          <w:rFonts w:ascii="宋体" w:hAnsi="宋体" w:cs="宋体"/>
          <w:color w:val="auto"/>
          <w:kern w:val="2"/>
        </w:rPr>
      </w:pPr>
      <w:r>
        <w:rPr>
          <w:rFonts w:hint="eastAsia" w:ascii="宋体" w:hAnsi="宋体" w:cs="宋体"/>
          <w:color w:val="auto"/>
          <w:kern w:val="2"/>
        </w:rPr>
        <w:t>投标人名称（公章）：</w:t>
      </w:r>
    </w:p>
    <w:p>
      <w:pPr>
        <w:pStyle w:val="33"/>
        <w:spacing w:before="0" w:after="0"/>
        <w:ind w:left="440" w:leftChars="200" w:firstLine="3000" w:firstLineChars="1250"/>
        <w:rPr>
          <w:rFonts w:ascii="宋体" w:hAnsi="宋体" w:cs="宋体"/>
          <w:color w:val="auto"/>
          <w:kern w:val="2"/>
        </w:rPr>
      </w:pPr>
    </w:p>
    <w:p>
      <w:pPr>
        <w:pStyle w:val="33"/>
        <w:spacing w:before="0" w:after="0"/>
        <w:jc w:val="right"/>
        <w:rPr>
          <w:rFonts w:ascii="宋体" w:hAnsi="宋体" w:cs="宋体"/>
          <w:color w:val="auto"/>
          <w:kern w:val="2"/>
        </w:rPr>
      </w:pPr>
      <w:r>
        <w:rPr>
          <w:rFonts w:hint="eastAsia" w:ascii="宋体" w:hAnsi="宋体" w:cs="宋体"/>
          <w:color w:val="auto"/>
          <w:kern w:val="2"/>
        </w:rPr>
        <w:t>日期：    年  月  日</w:t>
      </w:r>
    </w:p>
    <w:p>
      <w:pPr>
        <w:pStyle w:val="33"/>
        <w:ind w:firstLine="0"/>
        <w:jc w:val="both"/>
        <w:rPr>
          <w:rFonts w:ascii="宋体" w:hAnsi="宋体" w:cs="宋体"/>
          <w:color w:val="auto"/>
        </w:rPr>
      </w:pPr>
      <w:r>
        <w:rPr>
          <w:rFonts w:hint="eastAsia" w:ascii="宋体" w:hAnsi="宋体" w:cs="宋体"/>
          <w:b/>
          <w:bCs/>
          <w:color w:val="auto"/>
        </w:rPr>
        <w:t>附件二</w:t>
      </w:r>
    </w:p>
    <w:p>
      <w:pPr>
        <w:pStyle w:val="33"/>
        <w:ind w:firstLine="0"/>
        <w:jc w:val="center"/>
        <w:rPr>
          <w:rFonts w:ascii="宋体" w:hAnsi="宋体" w:cs="宋体"/>
          <w:b/>
          <w:color w:val="auto"/>
          <w:sz w:val="28"/>
          <w:szCs w:val="28"/>
        </w:rPr>
      </w:pPr>
      <w:bookmarkStart w:id="50" w:name="_Toc517190895"/>
      <w:r>
        <w:rPr>
          <w:rFonts w:hint="eastAsia" w:ascii="宋体" w:hAnsi="宋体" w:cs="宋体"/>
          <w:b/>
          <w:color w:val="auto"/>
          <w:sz w:val="28"/>
          <w:szCs w:val="28"/>
        </w:rPr>
        <w:t>授权书</w:t>
      </w:r>
      <w:bookmarkEnd w:id="50"/>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（投标人名称）授权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209550</wp:posOffset>
                </wp:positionV>
                <wp:extent cx="1897380" cy="635"/>
                <wp:effectExtent l="10795" t="9525" r="6350" b="8890"/>
                <wp:wrapNone/>
                <wp:docPr id="5"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5408;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QmEzXAAAACQEAAA8AAAAAAAAAAQAgAAAAIgAAAGRy&#10;cy9kb3ducmV2LnhtbFBLAQIUABQAAAAIAIdO4kCagRWj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代理人（被授权人）：                         </w:t>
      </w:r>
    </w:p>
    <w:p>
      <w:pPr>
        <w:pStyle w:val="49"/>
        <w:spacing w:line="360" w:lineRule="auto"/>
        <w:ind w:firstLine="480"/>
        <w:rPr>
          <w:rFonts w:ascii="宋体" w:hAnsi="宋体" w:cs="宋体"/>
          <w:color w:val="auto"/>
          <w:sz w:val="24"/>
          <w:szCs w:val="24"/>
          <w:u w:val="single"/>
        </w:rPr>
      </w:pPr>
      <w:r>
        <w:rPr>
          <w:color w:val="auto"/>
          <w:sz w:val="24"/>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142240</wp:posOffset>
                </wp:positionV>
                <wp:extent cx="2381250" cy="635"/>
                <wp:effectExtent l="9525" t="8890" r="9525" b="9525"/>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3360;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bPF1gAAAAkBAAAPAAAAAAAAAAEAIAAAACIAAABkcnMv&#10;ZG93bnJldi54bWxQSwECFAAUAAAACACHTuJAucmjfs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身份证号码：                               </w:t>
      </w:r>
    </w:p>
    <w:p>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170815</wp:posOffset>
                </wp:positionV>
                <wp:extent cx="1897380" cy="635"/>
                <wp:effectExtent l="7620" t="8890" r="9525" b="9525"/>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4384;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60ULXAAAACQEAAA8AAAAAAAAAAQAgAAAAIgAAAGRy&#10;cy9kb3ducmV2LnhtbFBLAQIUABQAAAAIAIdO4kDZtvd3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联系电话：（手机）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pPr>
        <w:pStyle w:val="49"/>
        <w:spacing w:line="360" w:lineRule="auto"/>
        <w:ind w:firstLine="480"/>
        <w:jc w:val="right"/>
        <w:rPr>
          <w:rFonts w:ascii="宋体" w:hAnsi="宋体" w:cs="宋体"/>
          <w:color w:val="auto"/>
          <w:sz w:val="24"/>
          <w:szCs w:val="24"/>
        </w:rPr>
      </w:pP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法定代表人（签字）：</w:t>
      </w: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投标人名称（加盖公章）：</w:t>
      </w:r>
    </w:p>
    <w:p>
      <w:pPr>
        <w:pStyle w:val="49"/>
        <w:spacing w:line="360" w:lineRule="auto"/>
        <w:ind w:firstLine="480"/>
        <w:jc w:val="right"/>
        <w:rPr>
          <w:rFonts w:ascii="宋体" w:hAnsi="宋体" w:cs="宋体"/>
          <w:color w:val="auto"/>
          <w:sz w:val="24"/>
          <w:szCs w:val="24"/>
        </w:rPr>
      </w:pPr>
    </w:p>
    <w:p>
      <w:pPr>
        <w:pStyle w:val="49"/>
        <w:spacing w:line="360" w:lineRule="auto"/>
        <w:ind w:firstLine="0" w:firstLineChars="0"/>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pPr>
        <w:pStyle w:val="5"/>
        <w:spacing w:line="360" w:lineRule="auto"/>
        <w:rPr>
          <w:rFonts w:ascii="宋体" w:hAnsi="宋体" w:eastAsia="宋体" w:cs="宋体"/>
          <w:color w:val="auto"/>
          <w:sz w:val="24"/>
          <w:szCs w:val="24"/>
        </w:rPr>
      </w:pPr>
      <w:bookmarkStart w:id="51" w:name="_Hlt26671380"/>
      <w:bookmarkEnd w:id="51"/>
      <w:bookmarkStart w:id="52" w:name="_Hlt26955070"/>
      <w:bookmarkEnd w:id="52"/>
      <w:bookmarkStart w:id="53" w:name="_格式3__银行出具的资信证明"/>
      <w:bookmarkEnd w:id="53"/>
    </w:p>
    <w:p>
      <w:pPr>
        <w:pStyle w:val="3"/>
        <w:spacing w:line="360" w:lineRule="auto"/>
        <w:rPr>
          <w:rFonts w:ascii="宋体" w:hAnsi="宋体" w:eastAsia="宋体" w:cs="宋体"/>
          <w:color w:val="auto"/>
          <w:sz w:val="24"/>
          <w:szCs w:val="24"/>
        </w:rPr>
      </w:pPr>
    </w:p>
    <w:p>
      <w:pPr>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spacing w:after="0"/>
        <w:ind w:left="0" w:leftChars="0" w:right="0" w:rightChars="0"/>
        <w:rPr>
          <w:rFonts w:ascii="宋体" w:hAnsi="宋体" w:eastAsia="宋体" w:cs="宋体"/>
          <w:b/>
          <w:bCs/>
          <w:color w:val="auto"/>
          <w:sz w:val="24"/>
          <w:szCs w:val="24"/>
        </w:rPr>
      </w:pPr>
      <w:r>
        <w:rPr>
          <w:rFonts w:hint="eastAsia" w:ascii="宋体" w:hAnsi="宋体" w:eastAsia="宋体" w:cs="宋体"/>
          <w:b/>
          <w:bCs/>
          <w:color w:val="auto"/>
          <w:sz w:val="24"/>
          <w:szCs w:val="24"/>
        </w:rPr>
        <w:t>附件三</w:t>
      </w:r>
      <w:bookmarkStart w:id="54" w:name="_Toc517190896"/>
    </w:p>
    <w:p>
      <w:pPr>
        <w:pStyle w:val="11"/>
        <w:spacing w:after="0"/>
        <w:ind w:left="0" w:leftChars="0" w:right="0" w:rightChars="0"/>
        <w:jc w:val="center"/>
        <w:rPr>
          <w:rFonts w:ascii="宋体" w:hAnsi="宋体" w:eastAsia="宋体" w:cs="宋体"/>
          <w:b/>
          <w:color w:val="auto"/>
          <w:sz w:val="28"/>
          <w:szCs w:val="28"/>
        </w:rPr>
      </w:pPr>
      <w:r>
        <w:rPr>
          <w:rFonts w:hint="eastAsia" w:ascii="宋体" w:hAnsi="宋体" w:eastAsia="宋体" w:cs="宋体"/>
          <w:b/>
          <w:color w:val="auto"/>
          <w:sz w:val="28"/>
          <w:szCs w:val="28"/>
        </w:rPr>
        <w:t>开标一览表</w:t>
      </w:r>
      <w:bookmarkEnd w:id="54"/>
    </w:p>
    <w:p>
      <w:pPr>
        <w:spacing w:line="360" w:lineRule="auto"/>
        <w:ind w:firstLine="480"/>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投标总报价</w:t>
            </w:r>
          </w:p>
        </w:tc>
        <w:tc>
          <w:tcPr>
            <w:tcW w:w="5883" w:type="dxa"/>
            <w:vAlign w:val="center"/>
          </w:tcPr>
          <w:p>
            <w:pPr>
              <w:pStyle w:val="8"/>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pPr>
              <w:pStyle w:val="8"/>
              <w:adjustRightInd w:val="0"/>
              <w:snapToGrid w:val="0"/>
              <w:spacing w:line="360" w:lineRule="auto"/>
              <w:rPr>
                <w:rFonts w:ascii="宋体" w:hAnsi="宋体" w:eastAsia="宋体" w:cs="宋体"/>
                <w:color w:val="auto"/>
                <w:sz w:val="24"/>
                <w:szCs w:val="24"/>
              </w:rPr>
            </w:pPr>
          </w:p>
          <w:p>
            <w:pPr>
              <w:pStyle w:val="33"/>
              <w:spacing w:before="0" w:after="0"/>
              <w:ind w:firstLine="0"/>
              <w:rPr>
                <w:rFonts w:ascii="宋体" w:hAnsi="宋体" w:cs="宋体"/>
                <w:color w:val="auto"/>
                <w:kern w:val="2"/>
              </w:rPr>
            </w:pPr>
            <w:r>
              <w:rPr>
                <w:rFonts w:hint="eastAsia" w:ascii="宋体" w:hAnsi="宋体" w:cs="宋体"/>
                <w:color w:val="auto"/>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pPr>
        <w:spacing w:line="360" w:lineRule="auto"/>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b/>
          <w:bCs/>
          <w:i/>
          <w:color w:val="auto"/>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
          <w:i/>
          <w:iCs/>
          <w:color w:val="auto"/>
          <w:sz w:val="24"/>
          <w:szCs w:val="24"/>
          <w:u w:val="single"/>
        </w:rPr>
        <w:t>开标一览表必须加盖投标单位公章（复印件无效）</w:t>
      </w:r>
      <w:r>
        <w:rPr>
          <w:rFonts w:hint="eastAsia" w:ascii="宋体" w:hAnsi="宋体" w:eastAsia="宋体" w:cs="宋体"/>
          <w:b/>
          <w:bCs/>
          <w:i/>
          <w:color w:val="auto"/>
          <w:sz w:val="24"/>
          <w:szCs w:val="24"/>
        </w:rPr>
        <w:t>。</w:t>
      </w:r>
    </w:p>
    <w:p>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b/>
          <w:bCs/>
          <w:i/>
          <w:iCs/>
          <w:color w:val="auto"/>
          <w:sz w:val="24"/>
          <w:szCs w:val="24"/>
          <w:u w:val="single"/>
        </w:rPr>
        <w:t>如有分包，投标人投任何一个包的标的，都需单独填写开标一览表</w:t>
      </w:r>
      <w:r>
        <w:rPr>
          <w:rFonts w:hint="eastAsia" w:ascii="宋体" w:hAnsi="宋体" w:eastAsia="宋体" w:cs="宋体"/>
          <w:b/>
          <w:bCs/>
          <w:color w:val="auto"/>
          <w:sz w:val="24"/>
          <w:szCs w:val="24"/>
        </w:rPr>
        <w:t>。</w:t>
      </w:r>
    </w:p>
    <w:p>
      <w:pPr>
        <w:spacing w:line="360" w:lineRule="auto"/>
        <w:rPr>
          <w:rFonts w:ascii="宋体" w:hAnsi="宋体" w:eastAsia="宋体" w:cs="宋体"/>
          <w:b/>
          <w:bCs/>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附件四</w:t>
      </w:r>
    </w:p>
    <w:p>
      <w:pPr>
        <w:pStyle w:val="33"/>
        <w:ind w:firstLine="0"/>
        <w:jc w:val="center"/>
        <w:rPr>
          <w:rFonts w:ascii="宋体" w:hAnsi="宋体" w:cs="宋体"/>
          <w:b/>
          <w:color w:val="auto"/>
          <w:sz w:val="28"/>
          <w:szCs w:val="28"/>
        </w:rPr>
      </w:pPr>
      <w:r>
        <w:rPr>
          <w:rFonts w:hint="eastAsia" w:ascii="宋体" w:hAnsi="宋体" w:cs="宋体"/>
          <w:b/>
          <w:color w:val="auto"/>
          <w:sz w:val="28"/>
          <w:szCs w:val="28"/>
        </w:rPr>
        <w:t>投标产品配置及分项报价表</w:t>
      </w: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pPr>
              <w:spacing w:line="360" w:lineRule="auto"/>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jc w:val="center"/>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360" w:lineRule="auto"/>
        <w:rPr>
          <w:rFonts w:ascii="宋体" w:hAnsi="宋体" w:eastAsia="宋体" w:cs="宋体"/>
          <w:color w:val="auto"/>
          <w:sz w:val="24"/>
          <w:szCs w:val="24"/>
        </w:rPr>
      </w:pPr>
    </w:p>
    <w:p>
      <w:pPr>
        <w:spacing w:line="360" w:lineRule="auto"/>
        <w:rPr>
          <w:rFonts w:ascii="宋体" w:hAnsi="宋体" w:eastAsia="宋体" w:cs="宋体"/>
          <w:b/>
          <w:bCs/>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附件五</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商务条款响应表</w:t>
      </w:r>
    </w:p>
    <w:p>
      <w:pPr>
        <w:shd w:val="clear" w:color="auto" w:fill="FFFFFF"/>
        <w:spacing w:line="360" w:lineRule="auto"/>
        <w:rPr>
          <w:rFonts w:ascii="Arial" w:hAnsi="Arial" w:cs="Arial"/>
          <w:color w:val="auto"/>
          <w:szCs w:val="21"/>
        </w:rPr>
      </w:pPr>
      <w:r>
        <w:rPr>
          <w:rFonts w:ascii="Arial" w:hAnsi="Arial" w:cs="Arial"/>
          <w:color w:val="auto"/>
          <w:sz w:val="24"/>
        </w:rPr>
        <w:t> </w:t>
      </w: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pPr>
              <w:spacing w:line="320" w:lineRule="exact"/>
              <w:jc w:val="center"/>
              <w:rPr>
                <w:rFonts w:ascii="宋体" w:hAnsi="宋体" w:eastAsia="宋体" w:cs="宋体"/>
                <w:color w:val="auto"/>
                <w:sz w:val="24"/>
                <w:szCs w:val="24"/>
              </w:rPr>
            </w:pPr>
            <w:r>
              <w:rPr>
                <w:rFonts w:hint="eastAsia" w:ascii="宋体" w:hAnsi="宋体" w:eastAsia="宋体" w:cs="宋体"/>
                <w:b/>
                <w:bCs/>
                <w:color w:val="auto"/>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说明：请对第一章招标公告、第三章采购需求及第五章合同主要条款及格式中的商务条款进行响应。</w:t>
      </w:r>
    </w:p>
    <w:p>
      <w:pPr>
        <w:spacing w:line="360" w:lineRule="auto"/>
        <w:rPr>
          <w:rFonts w:ascii="宋体" w:hAnsi="宋体" w:eastAsia="宋体" w:cs="宋体"/>
          <w:color w:val="auto"/>
          <w:sz w:val="24"/>
          <w:szCs w:val="24"/>
        </w:rPr>
      </w:pPr>
    </w:p>
    <w:p>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jc w:val="center"/>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1"/>
        <w:ind w:left="1540" w:right="1540"/>
        <w:rPr>
          <w:color w:val="auto"/>
        </w:rPr>
      </w:pPr>
    </w:p>
    <w:p>
      <w:pPr>
        <w:spacing w:line="360" w:lineRule="auto"/>
        <w:rPr>
          <w:rFonts w:ascii="宋体" w:hAnsi="宋体" w:eastAsia="宋体" w:cs="宋体"/>
          <w:b/>
          <w:color w:val="auto"/>
          <w:sz w:val="24"/>
          <w:szCs w:val="24"/>
        </w:rPr>
      </w:pPr>
      <w:r>
        <w:rPr>
          <w:rFonts w:hint="eastAsia" w:ascii="宋体" w:hAnsi="宋体" w:eastAsia="宋体" w:cs="宋体"/>
          <w:b/>
          <w:bCs/>
          <w:color w:val="auto"/>
          <w:sz w:val="24"/>
          <w:szCs w:val="24"/>
        </w:rPr>
        <w:t>附件</w:t>
      </w:r>
      <w:bookmarkEnd w:id="46"/>
      <w:bookmarkEnd w:id="47"/>
      <w:bookmarkEnd w:id="48"/>
      <w:bookmarkStart w:id="55" w:name="_Toc120614284"/>
      <w:r>
        <w:rPr>
          <w:rFonts w:hint="eastAsia" w:ascii="宋体" w:hAnsi="宋体" w:eastAsia="宋体" w:cs="宋体"/>
          <w:b/>
          <w:bCs/>
          <w:color w:val="auto"/>
          <w:sz w:val="24"/>
          <w:szCs w:val="24"/>
        </w:rPr>
        <w:t>六</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技术参数响应表</w:t>
      </w:r>
    </w:p>
    <w:p>
      <w:pPr>
        <w:pStyle w:val="11"/>
        <w:ind w:left="0" w:leftChars="0" w:right="1540"/>
        <w:rPr>
          <w:color w:val="auto"/>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5"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836"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投标响应</w:t>
            </w:r>
          </w:p>
        </w:tc>
        <w:tc>
          <w:tcPr>
            <w:tcW w:w="2176" w:type="dxa"/>
            <w:vAlign w:val="center"/>
          </w:tcPr>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autoSpaceDE w:val="0"/>
        <w:autoSpaceDN w:val="0"/>
        <w:spacing w:line="360" w:lineRule="auto"/>
        <w:rPr>
          <w:rFonts w:ascii="Arial" w:hAnsi="Arial" w:eastAsia="黑体" w:cs="Arial"/>
          <w:color w:val="auto"/>
          <w:sz w:val="28"/>
          <w:szCs w:val="36"/>
        </w:rPr>
      </w:pPr>
      <w:r>
        <w:rPr>
          <w:rFonts w:ascii="Arial" w:hAnsi="Arial" w:eastAsia="宋体" w:cs="Arial"/>
          <w:b/>
          <w:color w:val="auto"/>
          <w:sz w:val="24"/>
          <w:szCs w:val="24"/>
        </w:rPr>
        <w:t>附件</w:t>
      </w:r>
      <w:r>
        <w:rPr>
          <w:rFonts w:hint="eastAsia" w:ascii="Arial" w:hAnsi="Arial" w:eastAsia="宋体" w:cs="Arial"/>
          <w:b/>
          <w:color w:val="auto"/>
          <w:sz w:val="24"/>
          <w:szCs w:val="24"/>
        </w:rPr>
        <w:t>七</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无重大违法记录声明</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pPr>
        <w:spacing w:line="360" w:lineRule="auto"/>
        <w:ind w:firstLine="384" w:firstLineChars="160"/>
        <w:rPr>
          <w:rFonts w:ascii="宋体" w:hAnsi="宋体" w:eastAsia="宋体" w:cs="宋体"/>
          <w:color w:val="auto"/>
          <w:sz w:val="24"/>
          <w:szCs w:val="24"/>
        </w:rPr>
      </w:pPr>
      <w:r>
        <w:rPr>
          <w:rFonts w:hint="eastAsia" w:ascii="宋体" w:hAnsi="宋体" w:eastAsia="宋体" w:cs="宋体"/>
          <w:color w:val="auto"/>
          <w:sz w:val="24"/>
          <w:szCs w:val="24"/>
        </w:rPr>
        <w:t>我单位郑重声明：</w:t>
      </w:r>
    </w:p>
    <w:p>
      <w:pPr>
        <w:shd w:val="clear" w:color="auto" w:fill="FFFFFF"/>
        <w:spacing w:line="360" w:lineRule="auto"/>
        <w:ind w:firstLine="352" w:firstLineChars="147"/>
        <w:rPr>
          <w:rFonts w:ascii="宋体" w:hAnsi="宋体" w:eastAsia="宋体" w:cs="宋体"/>
          <w:b/>
          <w:color w:val="auto"/>
          <w:sz w:val="24"/>
          <w:szCs w:val="24"/>
        </w:rPr>
      </w:pPr>
      <w:r>
        <w:rPr>
          <w:rFonts w:hint="eastAsia" w:ascii="宋体" w:hAnsi="宋体" w:eastAsia="宋体" w:cs="宋体"/>
          <w:color w:val="auto"/>
          <w:sz w:val="24"/>
          <w:szCs w:val="24"/>
        </w:rPr>
        <w:t>我单位参加政府采购活动前3年内在经营活动中</w:t>
      </w:r>
      <w:r>
        <w:rPr>
          <w:rFonts w:hint="eastAsia" w:ascii="宋体" w:hAnsi="宋体" w:eastAsia="宋体" w:cs="宋体"/>
          <w:b/>
          <w:bCs/>
          <w:color w:val="auto"/>
          <w:sz w:val="24"/>
          <w:szCs w:val="24"/>
        </w:rPr>
        <w:t>没有</w:t>
      </w:r>
      <w:r>
        <w:rPr>
          <w:rFonts w:hint="eastAsia" w:ascii="宋体" w:hAnsi="宋体" w:eastAsia="宋体" w:cs="宋体"/>
          <w:b/>
          <w:color w:val="auto"/>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color w:val="auto"/>
          <w:sz w:val="24"/>
          <w:szCs w:val="24"/>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pStyle w:val="5"/>
        <w:spacing w:line="360" w:lineRule="auto"/>
        <w:rPr>
          <w:rFonts w:ascii="宋体" w:hAnsi="宋体" w:eastAsia="宋体" w:cs="宋体"/>
          <w:color w:val="auto"/>
          <w:sz w:val="24"/>
          <w:szCs w:val="24"/>
        </w:rPr>
      </w:pPr>
    </w:p>
    <w:bookmarkEnd w:id="55"/>
    <w:p>
      <w:pPr>
        <w:pStyle w:val="33"/>
        <w:ind w:firstLine="0"/>
        <w:rPr>
          <w:rFonts w:ascii="宋体" w:hAnsi="宋体" w:cs="宋体"/>
          <w:color w:val="auto"/>
        </w:rPr>
      </w:pPr>
    </w:p>
    <w:p>
      <w:pPr>
        <w:pStyle w:val="33"/>
        <w:ind w:firstLine="0"/>
        <w:rPr>
          <w:rFonts w:ascii="宋体" w:hAnsi="宋体" w:cs="宋体"/>
          <w:color w:val="auto"/>
        </w:rPr>
      </w:pPr>
    </w:p>
    <w:p>
      <w:pPr>
        <w:pStyle w:val="33"/>
        <w:ind w:firstLine="0"/>
        <w:rPr>
          <w:rFonts w:ascii="宋体" w:hAnsi="宋体" w:cs="宋体"/>
          <w:color w:val="auto"/>
        </w:rPr>
      </w:pPr>
    </w:p>
    <w:p>
      <w:pPr>
        <w:autoSpaceDE w:val="0"/>
        <w:autoSpaceDN w:val="0"/>
        <w:spacing w:after="0" w:line="360" w:lineRule="auto"/>
        <w:rPr>
          <w:rFonts w:ascii="Arial" w:hAnsi="Arial" w:eastAsia="宋体" w:cs="Arial"/>
          <w:b/>
          <w:color w:val="auto"/>
          <w:sz w:val="24"/>
          <w:szCs w:val="24"/>
        </w:rPr>
      </w:pPr>
      <w:bookmarkStart w:id="56" w:name="_Hlk60665956"/>
      <w:r>
        <w:rPr>
          <w:rFonts w:ascii="Arial" w:hAnsi="Arial" w:eastAsia="宋体" w:cs="Arial"/>
          <w:b/>
          <w:color w:val="auto"/>
          <w:sz w:val="24"/>
          <w:szCs w:val="24"/>
        </w:rPr>
        <w:t>附件</w:t>
      </w:r>
      <w:r>
        <w:rPr>
          <w:rFonts w:hint="eastAsia" w:ascii="Arial" w:hAnsi="Arial" w:eastAsia="宋体" w:cs="Arial"/>
          <w:b/>
          <w:color w:val="auto"/>
          <w:sz w:val="24"/>
          <w:szCs w:val="24"/>
        </w:rPr>
        <w:t>八</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具备履行合同所必需的设备和专业技术能力声明</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（投标人名称）郑重声明：</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主要设备有：                         </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主要专业技术能力有：                 </w:t>
      </w: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ascii="宋体" w:hAnsi="宋体" w:eastAsia="宋体" w:cs="宋体"/>
          <w:color w:val="auto"/>
          <w:sz w:val="24"/>
          <w:szCs w:val="24"/>
        </w:rPr>
      </w:pPr>
    </w:p>
    <w:p>
      <w:pPr>
        <w:spacing w:line="460" w:lineRule="exact"/>
        <w:ind w:firstLine="492"/>
        <w:rPr>
          <w:rFonts w:ascii="宋体" w:hAnsi="宋体" w:eastAsia="宋体" w:cs="宋体"/>
          <w:color w:val="auto"/>
          <w:sz w:val="24"/>
          <w:szCs w:val="24"/>
        </w:rPr>
      </w:pPr>
    </w:p>
    <w:p>
      <w:pPr>
        <w:spacing w:line="460" w:lineRule="exact"/>
        <w:ind w:firstLine="492"/>
        <w:rPr>
          <w:rFonts w:ascii="宋体" w:hAnsi="宋体" w:eastAsia="宋体" w:cs="宋体"/>
          <w:color w:val="auto"/>
          <w:sz w:val="24"/>
          <w:szCs w:val="24"/>
        </w:rPr>
      </w:pPr>
    </w:p>
    <w:p>
      <w:pPr>
        <w:autoSpaceDE w:val="0"/>
        <w:autoSpaceDN w:val="0"/>
        <w:spacing w:after="0" w:line="360" w:lineRule="auto"/>
        <w:rPr>
          <w:rFonts w:ascii="Arial" w:hAnsi="Arial" w:eastAsia="宋体" w:cs="Arial"/>
          <w:b/>
          <w:color w:val="auto"/>
          <w:sz w:val="24"/>
          <w:szCs w:val="24"/>
        </w:rPr>
      </w:pPr>
    </w:p>
    <w:p>
      <w:pPr>
        <w:autoSpaceDE w:val="0"/>
        <w:autoSpaceDN w:val="0"/>
        <w:spacing w:after="0" w:line="360" w:lineRule="auto"/>
        <w:rPr>
          <w:rFonts w:ascii="Arial" w:hAnsi="Arial" w:eastAsia="宋体" w:cs="Arial"/>
          <w:b/>
          <w:color w:val="auto"/>
          <w:sz w:val="24"/>
          <w:szCs w:val="24"/>
        </w:rPr>
      </w:pPr>
      <w:r>
        <w:rPr>
          <w:rFonts w:ascii="Arial" w:hAnsi="Arial" w:eastAsia="宋体" w:cs="Arial"/>
          <w:b/>
          <w:color w:val="auto"/>
          <w:sz w:val="24"/>
          <w:szCs w:val="24"/>
        </w:rPr>
        <w:t>附件</w:t>
      </w:r>
      <w:r>
        <w:rPr>
          <w:rFonts w:hint="eastAsia" w:ascii="Arial" w:hAnsi="Arial" w:eastAsia="宋体" w:cs="Arial"/>
          <w:b/>
          <w:color w:val="auto"/>
          <w:sz w:val="24"/>
          <w:szCs w:val="24"/>
        </w:rPr>
        <w:t>九</w:t>
      </w:r>
    </w:p>
    <w:p>
      <w:pPr>
        <w:spacing w:line="360" w:lineRule="auto"/>
        <w:jc w:val="center"/>
        <w:rPr>
          <w:rFonts w:ascii="宋体" w:hAnsi="宋体" w:eastAsia="宋体" w:cs="宋体"/>
          <w:b/>
          <w:color w:val="auto"/>
          <w:sz w:val="28"/>
          <w:szCs w:val="28"/>
        </w:rPr>
      </w:pPr>
      <w:bookmarkStart w:id="57" w:name="_Toc7690"/>
      <w:bookmarkStart w:id="58" w:name="_Toc896"/>
      <w:r>
        <w:rPr>
          <w:rFonts w:hint="eastAsia" w:ascii="宋体" w:hAnsi="宋体" w:eastAsia="宋体" w:cs="宋体"/>
          <w:b/>
          <w:color w:val="auto"/>
          <w:sz w:val="28"/>
          <w:szCs w:val="28"/>
        </w:rPr>
        <w:t>中小企业声明函（货物）</w:t>
      </w:r>
      <w:bookmarkEnd w:id="57"/>
      <w:bookmarkEnd w:id="58"/>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u w:val="single"/>
        </w:rPr>
        <w:t xml:space="preserve"> [标的名称]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u w:val="single"/>
        </w:rPr>
        <w:t xml:space="preserve">[标的名称]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color w:val="auto"/>
          <w:sz w:val="24"/>
          <w:szCs w:val="24"/>
        </w:rPr>
      </w:pPr>
    </w:p>
    <w:p>
      <w:pPr>
        <w:pStyle w:val="8"/>
        <w:adjustRightInd w:val="0"/>
        <w:snapToGrid w:val="0"/>
        <w:spacing w:line="300" w:lineRule="auto"/>
        <w:rPr>
          <w:rFonts w:ascii="宋体" w:hAnsi="宋体" w:eastAsia="宋体" w:cs="宋体"/>
          <w:snapToGrid w:val="0"/>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投标人名称（盖章）：</w:t>
      </w:r>
    </w:p>
    <w:p>
      <w:pPr>
        <w:spacing w:line="360" w:lineRule="auto"/>
        <w:ind w:firstLine="5040" w:firstLineChars="2100"/>
        <w:rPr>
          <w:rFonts w:ascii="宋体" w:hAnsi="宋体" w:eastAsia="宋体" w:cs="宋体"/>
          <w:snapToGrid w:val="0"/>
          <w:color w:val="auto"/>
          <w:sz w:val="24"/>
          <w:szCs w:val="24"/>
        </w:rPr>
      </w:pPr>
      <w:r>
        <w:rPr>
          <w:rFonts w:hint="eastAsia" w:ascii="宋体" w:hAnsi="宋体" w:eastAsia="宋体" w:cs="宋体"/>
          <w:color w:val="auto"/>
          <w:sz w:val="24"/>
          <w:szCs w:val="24"/>
        </w:rPr>
        <w:t>日  期：</w:t>
      </w:r>
      <w:bookmarkEnd w:id="56"/>
      <w:r>
        <w:rPr>
          <w:rFonts w:hint="eastAsia" w:ascii="宋体" w:hAnsi="宋体" w:eastAsia="宋体" w:cs="宋体"/>
          <w:color w:val="auto"/>
          <w:sz w:val="24"/>
          <w:szCs w:val="24"/>
        </w:rPr>
        <w:t xml:space="preserve">  年  月  日</w:t>
      </w:r>
    </w:p>
    <w:p>
      <w:pPr>
        <w:pStyle w:val="33"/>
        <w:ind w:firstLine="0"/>
        <w:rPr>
          <w:rFonts w:ascii="宋体" w:hAnsi="宋体" w:cs="宋体"/>
          <w:color w:val="auto"/>
        </w:rPr>
      </w:pPr>
      <w:r>
        <w:rPr>
          <w:rFonts w:hint="eastAsia" w:ascii="宋体" w:hAnsi="宋体" w:cs="宋体"/>
          <w:color w:val="auto"/>
        </w:rPr>
        <w:br w:type="page"/>
      </w:r>
    </w:p>
    <w:p>
      <w:pPr>
        <w:pStyle w:val="33"/>
        <w:ind w:firstLine="0"/>
        <w:rPr>
          <w:rFonts w:ascii="宋体" w:hAnsi="宋体" w:cs="宋体"/>
          <w:color w:val="auto"/>
        </w:rPr>
      </w:pPr>
      <w:r>
        <w:rPr>
          <w:rFonts w:cs="Arial"/>
          <w:b/>
          <w:color w:val="auto"/>
        </w:rPr>
        <w:t>附件</w:t>
      </w:r>
      <w:r>
        <w:rPr>
          <w:rFonts w:hint="eastAsia" w:cs="Arial"/>
          <w:b/>
          <w:color w:val="auto"/>
        </w:rPr>
        <w:t>十</w:t>
      </w:r>
    </w:p>
    <w:p>
      <w:pPr>
        <w:spacing w:line="360" w:lineRule="auto"/>
        <w:jc w:val="center"/>
        <w:rPr>
          <w:rFonts w:ascii="宋体" w:hAnsi="宋体" w:eastAsia="宋体" w:cs="宋体"/>
          <w:b/>
          <w:color w:val="auto"/>
          <w:sz w:val="28"/>
          <w:szCs w:val="28"/>
        </w:rPr>
      </w:pPr>
      <w:bookmarkStart w:id="59" w:name="_Toc4019"/>
      <w:bookmarkStart w:id="60" w:name="_Toc1046"/>
      <w:r>
        <w:rPr>
          <w:rFonts w:hint="eastAsia" w:ascii="宋体" w:hAnsi="宋体" w:eastAsia="宋体" w:cs="宋体"/>
          <w:b/>
          <w:color w:val="auto"/>
          <w:sz w:val="28"/>
          <w:szCs w:val="28"/>
        </w:rPr>
        <w:t>残疾人福利性单位声明函</w:t>
      </w:r>
      <w:bookmarkEnd w:id="59"/>
      <w:bookmarkEnd w:id="60"/>
    </w:p>
    <w:p>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rPr>
        <w:t>_</w:t>
      </w:r>
      <w:bookmarkStart w:id="61" w:name="_Hlk60666078"/>
      <w:r>
        <w:rPr>
          <w:rFonts w:hint="eastAsia" w:ascii="宋体" w:hAnsi="宋体" w:eastAsia="宋体" w:cs="宋体"/>
          <w:snapToGrid w:val="0"/>
          <w:color w:val="auto"/>
          <w:sz w:val="24"/>
          <w:szCs w:val="24"/>
          <w:u w:val="single"/>
        </w:rPr>
        <w:t xml:space="preserve"> [采购人名称] </w:t>
      </w:r>
      <w:bookmarkEnd w:id="61"/>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62" w:name="_Hlk60666088"/>
      <w:r>
        <w:rPr>
          <w:rFonts w:hint="eastAsia" w:ascii="宋体" w:hAnsi="宋体" w:eastAsia="宋体" w:cs="宋体"/>
          <w:snapToGrid w:val="0"/>
          <w:color w:val="auto"/>
          <w:sz w:val="24"/>
          <w:szCs w:val="24"/>
          <w:u w:val="single"/>
        </w:rPr>
        <w:t xml:space="preserve"> [项目编号] </w:t>
      </w:r>
      <w:bookmarkEnd w:id="62"/>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63" w:name="_Hlk60666094"/>
      <w:r>
        <w:rPr>
          <w:rFonts w:hint="eastAsia" w:ascii="宋体" w:hAnsi="宋体" w:eastAsia="宋体" w:cs="宋体"/>
          <w:snapToGrid w:val="0"/>
          <w:color w:val="auto"/>
          <w:sz w:val="24"/>
          <w:szCs w:val="24"/>
          <w:u w:val="single"/>
        </w:rPr>
        <w:t>[项目名称]</w:t>
      </w:r>
      <w:bookmarkEnd w:id="63"/>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64" w:name="_Hlk60666108"/>
      <w:r>
        <w:rPr>
          <w:rFonts w:hint="eastAsia" w:ascii="宋体" w:hAnsi="宋体" w:eastAsia="宋体" w:cs="宋体"/>
          <w:color w:val="auto"/>
          <w:sz w:val="24"/>
          <w:szCs w:val="24"/>
          <w:u w:val="single"/>
        </w:rPr>
        <w:t xml:space="preserve">  [残疾人福利性单位名称]  </w:t>
      </w:r>
      <w:bookmarkEnd w:id="64"/>
      <w:r>
        <w:rPr>
          <w:rFonts w:hint="eastAsia" w:ascii="宋体" w:hAnsi="宋体" w:eastAsia="宋体" w:cs="宋体"/>
          <w:color w:val="auto"/>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color w:val="auto"/>
          <w:sz w:val="24"/>
          <w:szCs w:val="24"/>
        </w:rPr>
      </w:pPr>
    </w:p>
    <w:p>
      <w:pPr>
        <w:spacing w:line="588" w:lineRule="exact"/>
        <w:ind w:firstLine="480" w:firstLineChars="200"/>
        <w:rPr>
          <w:rFonts w:ascii="宋体" w:hAnsi="宋体" w:eastAsia="宋体" w:cs="宋体"/>
          <w:b/>
          <w:bCs/>
          <w:color w:val="auto"/>
          <w:sz w:val="24"/>
          <w:szCs w:val="24"/>
        </w:rPr>
      </w:pPr>
      <w:bookmarkStart w:id="65" w:name="_Hlk60666116"/>
      <w:r>
        <w:rPr>
          <w:rFonts w:hint="eastAsia" w:ascii="宋体" w:hAnsi="宋体" w:eastAsia="宋体" w:cs="宋体"/>
          <w:snapToGrid w:val="0"/>
          <w:color w:val="auto"/>
          <w:sz w:val="24"/>
          <w:szCs w:val="24"/>
        </w:rPr>
        <w:t xml:space="preserve"> </w:t>
      </w:r>
    </w:p>
    <w:bookmarkEnd w:id="65"/>
    <w:p>
      <w:pPr>
        <w:spacing w:line="588" w:lineRule="exact"/>
        <w:ind w:firstLine="504" w:firstLineChars="200"/>
        <w:rPr>
          <w:rFonts w:ascii="宋体" w:hAnsi="宋体" w:eastAsia="宋体" w:cs="宋体"/>
          <w:color w:val="auto"/>
          <w:spacing w:val="6"/>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588" w:lineRule="exact"/>
        <w:rPr>
          <w:rFonts w:ascii="宋体" w:hAnsi="宋体" w:eastAsia="宋体" w:cs="宋体"/>
          <w:color w:val="auto"/>
          <w:spacing w:val="6"/>
          <w:sz w:val="24"/>
          <w:szCs w:val="24"/>
        </w:rPr>
      </w:pPr>
      <w:r>
        <w:rPr>
          <w:rFonts w:hint="eastAsia" w:ascii="宋体" w:hAnsi="宋体" w:eastAsia="宋体" w:cs="宋体"/>
          <w:color w:val="auto"/>
          <w:sz w:val="24"/>
          <w:szCs w:val="24"/>
        </w:rPr>
        <w:t>投标人名称（盖章）：</w:t>
      </w: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r>
        <w:rPr>
          <w:rFonts w:hint="eastAsia" w:ascii="宋体" w:hAnsi="宋体" w:eastAsia="宋体" w:cs="宋体"/>
          <w:color w:val="auto"/>
          <w:sz w:val="24"/>
          <w:szCs w:val="24"/>
        </w:rPr>
        <w:t>日  期：  年   月   日</w:t>
      </w:r>
    </w:p>
    <w:p>
      <w:pPr>
        <w:pStyle w:val="33"/>
        <w:ind w:firstLine="0"/>
        <w:rPr>
          <w:rFonts w:ascii="宋体" w:hAnsi="宋体" w:cs="宋体"/>
          <w:color w:val="auto"/>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44</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06E1"/>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23F88"/>
    <w:rsid w:val="0053212D"/>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A1FAE"/>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1389A"/>
    <w:rsid w:val="00841379"/>
    <w:rsid w:val="0085068C"/>
    <w:rsid w:val="008545FA"/>
    <w:rsid w:val="008940B1"/>
    <w:rsid w:val="008B154E"/>
    <w:rsid w:val="008B7726"/>
    <w:rsid w:val="008F5952"/>
    <w:rsid w:val="008F6FC4"/>
    <w:rsid w:val="008F7663"/>
    <w:rsid w:val="00901E4A"/>
    <w:rsid w:val="0091368E"/>
    <w:rsid w:val="00914B43"/>
    <w:rsid w:val="00917C9A"/>
    <w:rsid w:val="009330FF"/>
    <w:rsid w:val="00937A6C"/>
    <w:rsid w:val="00954E6B"/>
    <w:rsid w:val="009569A2"/>
    <w:rsid w:val="00973324"/>
    <w:rsid w:val="00985BBC"/>
    <w:rsid w:val="0099642C"/>
    <w:rsid w:val="009B045B"/>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65FE"/>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9C6F4E"/>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14454A"/>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347444"/>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Char"/>
    <w:basedOn w:val="25"/>
    <w:link w:val="17"/>
    <w:autoRedefine/>
    <w:qFormat/>
    <w:uiPriority w:val="99"/>
    <w:rPr>
      <w:rFonts w:ascii="Tahoma" w:hAnsi="Tahoma"/>
      <w:sz w:val="18"/>
      <w:szCs w:val="18"/>
    </w:rPr>
  </w:style>
  <w:style w:type="character" w:customStyle="1" w:styleId="30">
    <w:name w:val="页脚 Char"/>
    <w:basedOn w:val="25"/>
    <w:link w:val="16"/>
    <w:autoRedefine/>
    <w:qFormat/>
    <w:uiPriority w:val="99"/>
    <w:rPr>
      <w:rFonts w:ascii="Tahoma" w:hAnsi="Tahoma"/>
      <w:sz w:val="18"/>
      <w:szCs w:val="18"/>
    </w:rPr>
  </w:style>
  <w:style w:type="character" w:customStyle="1" w:styleId="31">
    <w:name w:val="标题 1 Char"/>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Char"/>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Char"/>
    <w:link w:val="5"/>
    <w:autoRedefine/>
    <w:qFormat/>
    <w:uiPriority w:val="0"/>
    <w:rPr>
      <w:kern w:val="2"/>
      <w:sz w:val="21"/>
      <w:szCs w:val="21"/>
    </w:rPr>
  </w:style>
  <w:style w:type="character" w:customStyle="1" w:styleId="41">
    <w:name w:val="标题 Char"/>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Char1"/>
    <w:basedOn w:val="25"/>
    <w:link w:val="14"/>
    <w:autoRedefine/>
    <w:semiHidden/>
    <w:qFormat/>
    <w:uiPriority w:val="99"/>
    <w:rPr>
      <w:rFonts w:ascii="宋体" w:hAnsi="Courier New" w:eastAsia="宋体" w:cs="Courier New"/>
      <w:sz w:val="21"/>
      <w:szCs w:val="21"/>
    </w:rPr>
  </w:style>
  <w:style w:type="character" w:customStyle="1" w:styleId="45">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autoRedefine/>
    <w:semiHidden/>
    <w:qFormat/>
    <w:uiPriority w:val="99"/>
    <w:rPr>
      <w:rFonts w:ascii="Tahoma" w:hAnsi="Tahoma" w:eastAsia="微软雅黑" w:cstheme="minorBidi"/>
      <w:b/>
      <w:bCs/>
      <w:sz w:val="22"/>
      <w:szCs w:val="22"/>
    </w:rPr>
  </w:style>
  <w:style w:type="paragraph" w:customStyle="1" w:styleId="56">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5B1EB-E937-4674-9C19-E35A24717CF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3776</Words>
  <Characters>21525</Characters>
  <Lines>179</Lines>
  <Paragraphs>50</Paragraphs>
  <TotalTime>18</TotalTime>
  <ScaleCrop>false</ScaleCrop>
  <LinksUpToDate>false</LinksUpToDate>
  <CharactersWithSpaces>25251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2024-04-10T01:37:00Z</dcterms:created>
  <dc:creator>admin</dc:creator>
  <cp:lastModifiedBy>admin</cp:lastModifiedBy>
  <dcterms:modified xsi:type="dcterms:W3CDTF">2024-04-16T06:08:37Z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43B2C2A2A3F24059A0F31D17C286BA38_12</vt:lpwstr>
  </property>
</Properties>
</file>