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3"/>
        <w:ind w:firstLine="0"/>
        <w:jc w:val="center"/>
        <w:rPr>
          <w:rFonts w:eastAsia="黑体"/>
          <w:b/>
          <w:bCs/>
          <w:sz w:val="84"/>
        </w:rPr>
      </w:pPr>
    </w:p>
    <w:p>
      <w:pPr>
        <w:pStyle w:val="33"/>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3"/>
        <w:ind w:firstLine="2401" w:firstLineChars="750"/>
        <w:rPr>
          <w:rFonts w:ascii="微软雅黑" w:hAnsi="微软雅黑" w:eastAsia="微软雅黑" w:cs="微软雅黑"/>
          <w:b/>
          <w:bCs/>
          <w:sz w:val="32"/>
        </w:rPr>
      </w:pPr>
    </w:p>
    <w:p>
      <w:pPr>
        <w:pStyle w:val="33"/>
        <w:rPr>
          <w:rFonts w:ascii="微软雅黑" w:hAnsi="微软雅黑" w:eastAsia="微软雅黑" w:cs="微软雅黑"/>
          <w:b/>
          <w:bCs/>
          <w:sz w:val="32"/>
        </w:rPr>
      </w:pPr>
    </w:p>
    <w:p>
      <w:pPr>
        <w:pStyle w:val="33"/>
        <w:rPr>
          <w:rFonts w:hint="default" w:ascii="微软雅黑" w:hAnsi="微软雅黑" w:eastAsia="微软雅黑" w:cs="微软雅黑"/>
          <w:b/>
          <w:bCs/>
          <w:sz w:val="32"/>
          <w:u w:val="thick"/>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
          <w:bCs/>
          <w:sz w:val="32"/>
          <w:lang w:val="en-US" w:eastAsia="zh-CN"/>
        </w:rPr>
        <w:t xml:space="preserve"> 南京医科大学网络阅卷和电子试卷管理系统</w:t>
      </w:r>
    </w:p>
    <w:p>
      <w:pPr>
        <w:pStyle w:val="33"/>
        <w:rPr>
          <w:rFonts w:ascii="微软雅黑" w:hAnsi="微软雅黑" w:eastAsia="微软雅黑" w:cs="微软雅黑"/>
          <w:b/>
          <w:bCs/>
          <w:sz w:val="13"/>
          <w:szCs w:val="10"/>
          <w:u w:val="thick"/>
        </w:rPr>
      </w:pPr>
    </w:p>
    <w:p>
      <w:pPr>
        <w:pStyle w:val="33"/>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lang w:val="en-US" w:eastAsia="zh-CN"/>
        </w:rPr>
        <w:t xml:space="preserve">      </w:t>
      </w:r>
      <w:r>
        <w:rPr>
          <w:rFonts w:hint="eastAsia" w:ascii="微软雅黑" w:hAnsi="微软雅黑" w:eastAsia="微软雅黑" w:cs="微软雅黑"/>
          <w:b/>
          <w:bCs/>
          <w:sz w:val="32"/>
        </w:rPr>
        <w:t>NJMUZB2242024011</w:t>
      </w:r>
    </w:p>
    <w:p>
      <w:pPr>
        <w:pStyle w:val="33"/>
        <w:spacing w:before="0" w:after="0"/>
        <w:ind w:firstLine="0"/>
        <w:rPr>
          <w:rFonts w:ascii="宋体" w:hAnsi="宋体"/>
        </w:rPr>
      </w:pPr>
    </w:p>
    <w:p>
      <w:pPr>
        <w:pStyle w:val="33"/>
        <w:spacing w:before="0" w:after="0"/>
        <w:ind w:firstLine="0"/>
        <w:rPr>
          <w:rFonts w:ascii="宋体" w:hAnsi="宋体"/>
        </w:rPr>
      </w:pPr>
    </w:p>
    <w:p>
      <w:pPr>
        <w:pStyle w:val="33"/>
        <w:spacing w:before="0" w:after="0"/>
        <w:ind w:firstLine="0"/>
        <w:rPr>
          <w:rFonts w:ascii="宋体" w:hAnsi="宋体"/>
        </w:rPr>
      </w:pPr>
    </w:p>
    <w:p>
      <w:pPr>
        <w:pStyle w:val="33"/>
        <w:spacing w:before="0" w:after="0"/>
        <w:ind w:firstLine="0"/>
        <w:rPr>
          <w:rFonts w:ascii="宋体" w:hAnsi="宋体"/>
        </w:rPr>
      </w:pPr>
    </w:p>
    <w:p>
      <w:pPr>
        <w:pStyle w:val="33"/>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六</w:t>
      </w:r>
      <w:r>
        <w:rPr>
          <w:rFonts w:hint="eastAsia" w:ascii="微软雅黑" w:hAnsi="微软雅黑" w:eastAsia="微软雅黑" w:cs="微软雅黑"/>
          <w:b/>
          <w:bCs/>
          <w:sz w:val="32"/>
        </w:rPr>
        <w:t>月</w:t>
      </w:r>
    </w:p>
    <w:p>
      <w:pPr>
        <w:pStyle w:val="33"/>
        <w:ind w:firstLine="0"/>
        <w:jc w:val="center"/>
        <w:rPr>
          <w:rFonts w:ascii="微软雅黑" w:hAnsi="微软雅黑" w:eastAsia="微软雅黑" w:cs="微软雅黑"/>
          <w:b/>
          <w:bCs/>
          <w:sz w:val="32"/>
        </w:rPr>
      </w:pPr>
    </w:p>
    <w:p>
      <w:pPr>
        <w:pStyle w:val="33"/>
        <w:ind w:firstLine="0"/>
        <w:jc w:val="center"/>
        <w:rPr>
          <w:rFonts w:eastAsia="黑体"/>
          <w:b/>
          <w:bCs/>
          <w:color w:val="FF0000"/>
          <w:sz w:val="32"/>
        </w:rPr>
      </w:pPr>
      <w:bookmarkStart w:id="0" w:name="_Toc517190880"/>
      <w:bookmarkStart w:id="1" w:name="_Toc120614210"/>
      <w:bookmarkStart w:id="2" w:name="_Toc523127445"/>
      <w:bookmarkStart w:id="3" w:name="_Toc513029200"/>
      <w:bookmarkStart w:id="4" w:name="_Toc20823272"/>
      <w:bookmarkStart w:id="5" w:name="_Toc16938516"/>
      <w:bookmarkStart w:id="6" w:name="_Toc479757206"/>
      <w:r>
        <w:rPr>
          <w:rFonts w:hint="eastAsia" w:ascii="黑体" w:hAnsi="黑体" w:eastAsia="黑体"/>
          <w:b/>
          <w:color w:val="auto"/>
          <w:sz w:val="44"/>
          <w:szCs w:val="28"/>
        </w:rPr>
        <w:t>目  录</w:t>
      </w:r>
      <w:bookmarkEnd w:id="0"/>
    </w:p>
    <w:p>
      <w:pPr>
        <w:pStyle w:val="18"/>
        <w:tabs>
          <w:tab w:val="right" w:leader="dot" w:pos="8306"/>
        </w:tabs>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_Toc16294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第一章  招标公告</w:t>
      </w:r>
      <w:r>
        <w:tab/>
      </w:r>
      <w:r>
        <w:fldChar w:fldCharType="begin"/>
      </w:r>
      <w:r>
        <w:instrText xml:space="preserve"> PAGEREF _Toc16294 \h </w:instrText>
      </w:r>
      <w:r>
        <w:fldChar w:fldCharType="separate"/>
      </w:r>
      <w:r>
        <w:t>3</w:t>
      </w:r>
      <w:r>
        <w:fldChar w:fldCharType="end"/>
      </w:r>
      <w:r>
        <w:rPr>
          <w:rFonts w:asciiTheme="minorEastAsia" w:hAnsiTheme="minorEastAsia" w:eastAsiaTheme="minorEastAsia"/>
          <w:szCs w:val="28"/>
        </w:rPr>
        <w:fldChar w:fldCharType="end"/>
      </w:r>
    </w:p>
    <w:p>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_Toc32151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第二章  投标人须知</w:t>
      </w:r>
      <w:r>
        <w:tab/>
      </w:r>
      <w:r>
        <w:fldChar w:fldCharType="begin"/>
      </w:r>
      <w:r>
        <w:instrText xml:space="preserve"> PAGEREF _Toc32151 \h </w:instrText>
      </w:r>
      <w:r>
        <w:fldChar w:fldCharType="separate"/>
      </w:r>
      <w:r>
        <w:t>7</w:t>
      </w:r>
      <w:r>
        <w:fldChar w:fldCharType="end"/>
      </w:r>
      <w:r>
        <w:rPr>
          <w:rFonts w:asciiTheme="minorEastAsia" w:hAnsiTheme="minorEastAsia" w:eastAsiaTheme="minorEastAsia"/>
          <w:szCs w:val="28"/>
        </w:rPr>
        <w:fldChar w:fldCharType="end"/>
      </w:r>
    </w:p>
    <w:p>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_Toc31620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第三章  项目需求</w:t>
      </w:r>
      <w:r>
        <w:tab/>
      </w:r>
      <w:r>
        <w:fldChar w:fldCharType="begin"/>
      </w:r>
      <w:r>
        <w:instrText xml:space="preserve"> PAGEREF _Toc31620 \h </w:instrText>
      </w:r>
      <w:r>
        <w:fldChar w:fldCharType="separate"/>
      </w:r>
      <w:r>
        <w:t>18</w:t>
      </w:r>
      <w:r>
        <w:fldChar w:fldCharType="end"/>
      </w:r>
      <w:r>
        <w:rPr>
          <w:rFonts w:asciiTheme="minorEastAsia" w:hAnsiTheme="minorEastAsia" w:eastAsiaTheme="minorEastAsia"/>
          <w:szCs w:val="28"/>
        </w:rPr>
        <w:fldChar w:fldCharType="end"/>
      </w:r>
    </w:p>
    <w:p>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_Toc6447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第四章  评标方法与评标标准</w:t>
      </w:r>
      <w:r>
        <w:tab/>
      </w:r>
      <w:r>
        <w:fldChar w:fldCharType="begin"/>
      </w:r>
      <w:r>
        <w:instrText xml:space="preserve"> PAGEREF _Toc6447 \h </w:instrText>
      </w:r>
      <w:r>
        <w:fldChar w:fldCharType="separate"/>
      </w:r>
      <w:r>
        <w:t>25</w:t>
      </w:r>
      <w:r>
        <w:fldChar w:fldCharType="end"/>
      </w:r>
      <w:r>
        <w:rPr>
          <w:rFonts w:asciiTheme="minorEastAsia" w:hAnsiTheme="minorEastAsia" w:eastAsiaTheme="minorEastAsia"/>
          <w:szCs w:val="28"/>
        </w:rPr>
        <w:fldChar w:fldCharType="end"/>
      </w:r>
    </w:p>
    <w:p>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_Toc32204 </w:instrText>
      </w:r>
      <w:r>
        <w:rPr>
          <w:rFonts w:asciiTheme="minorEastAsia" w:hAnsiTheme="minorEastAsia" w:eastAsiaTheme="minorEastAsia"/>
          <w:szCs w:val="28"/>
        </w:rPr>
        <w:fldChar w:fldCharType="separate"/>
      </w:r>
      <w:r>
        <w:rPr>
          <w:rFonts w:hint="eastAsia" w:ascii="宋体" w:hAnsi="宋体" w:eastAsia="宋体" w:cs="宋体"/>
          <w:bCs/>
          <w:szCs w:val="32"/>
        </w:rPr>
        <w:t>第五章 拟签订的合同文本</w:t>
      </w:r>
      <w:r>
        <w:tab/>
      </w:r>
      <w:r>
        <w:fldChar w:fldCharType="begin"/>
      </w:r>
      <w:r>
        <w:instrText xml:space="preserve"> PAGEREF _Toc32204 \h </w:instrText>
      </w:r>
      <w:r>
        <w:fldChar w:fldCharType="separate"/>
      </w:r>
      <w:r>
        <w:t>27</w:t>
      </w:r>
      <w:r>
        <w:fldChar w:fldCharType="end"/>
      </w:r>
      <w:r>
        <w:rPr>
          <w:rFonts w:asciiTheme="minorEastAsia" w:hAnsiTheme="minorEastAsia" w:eastAsiaTheme="minorEastAsia"/>
          <w:szCs w:val="28"/>
        </w:rPr>
        <w:fldChar w:fldCharType="end"/>
      </w:r>
    </w:p>
    <w:p>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_Toc19271 </w:instrText>
      </w:r>
      <w:r>
        <w:rPr>
          <w:rFonts w:asciiTheme="minorEastAsia" w:hAnsiTheme="minorEastAsia" w:eastAsiaTheme="minorEastAsia"/>
          <w:szCs w:val="28"/>
        </w:rPr>
        <w:fldChar w:fldCharType="separate"/>
      </w:r>
      <w:r>
        <w:rPr>
          <w:rFonts w:hint="eastAsia" w:asciiTheme="majorEastAsia" w:hAnsiTheme="majorEastAsia" w:eastAsiaTheme="majorEastAsia" w:cstheme="minorBidi"/>
          <w:kern w:val="0"/>
          <w:szCs w:val="32"/>
        </w:rPr>
        <w:t>第六章  投标文件格式</w:t>
      </w:r>
      <w:r>
        <w:tab/>
      </w:r>
      <w:r>
        <w:fldChar w:fldCharType="begin"/>
      </w:r>
      <w:r>
        <w:instrText xml:space="preserve"> PAGEREF _Toc19271 \h </w:instrText>
      </w:r>
      <w:r>
        <w:fldChar w:fldCharType="separate"/>
      </w:r>
      <w:r>
        <w:t>32</w:t>
      </w:r>
      <w:r>
        <w:fldChar w:fldCharType="end"/>
      </w:r>
      <w:r>
        <w:rPr>
          <w:rFonts w:asciiTheme="minorEastAsia" w:hAnsiTheme="minorEastAsia" w:eastAsiaTheme="minorEastAsia"/>
          <w:szCs w:val="28"/>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6294"/>
      <w:bookmarkStart w:id="8" w:name="_Toc24948"/>
      <w:bookmarkStart w:id="9" w:name="_Toc19097"/>
      <w:r>
        <w:rPr>
          <w:rFonts w:hint="eastAsia" w:asciiTheme="majorEastAsia" w:hAnsiTheme="majorEastAsia" w:eastAsiaTheme="majorEastAsia"/>
          <w:b/>
          <w:sz w:val="32"/>
          <w:szCs w:val="32"/>
        </w:rPr>
        <w:t>第一章  招标公告</w:t>
      </w:r>
      <w:bookmarkEnd w:id="7"/>
      <w:bookmarkEnd w:id="8"/>
      <w:bookmarkEnd w:id="9"/>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10" w:name="_Toc120614211"/>
      <w:bookmarkStart w:id="11" w:name="_Toc513029242"/>
      <w:bookmarkStart w:id="12" w:name="_Toc120614221"/>
      <w:bookmarkStart w:id="13" w:name="_Toc16938558"/>
      <w:bookmarkStart w:id="14" w:name="OLE_LINK2"/>
      <w:bookmarkStart w:id="15" w:name="_Toc444669970"/>
      <w:bookmarkStart w:id="16" w:name="_Toc479757207"/>
      <w:bookmarkStart w:id="17" w:name="OLE_LINK1"/>
      <w:bookmarkStart w:id="18" w:name="_Toc20823314"/>
      <w:r>
        <w:rPr>
          <w:rFonts w:hint="eastAsia" w:ascii="宋体" w:hAnsi="宋体" w:eastAsia="宋体" w:cs="宋体"/>
          <w:sz w:val="24"/>
          <w:szCs w:val="24"/>
        </w:rPr>
        <w:t>南京医科大学就</w:t>
      </w:r>
      <w:r>
        <w:rPr>
          <w:rFonts w:hint="eastAsia" w:ascii="宋体" w:hAnsi="宋体" w:eastAsia="宋体" w:cs="宋体"/>
          <w:sz w:val="24"/>
          <w:szCs w:val="24"/>
          <w:u w:val="single"/>
          <w:lang w:val="en-US" w:eastAsia="zh-CN"/>
        </w:rPr>
        <w:t>南京医科大学网络阅卷和电子试卷管理系统</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w:t>
      </w:r>
      <w:r>
        <w:rPr>
          <w:rFonts w:hint="eastAsia" w:ascii="宋体" w:hAnsi="宋体" w:eastAsia="宋体" w:cs="宋体"/>
          <w:sz w:val="24"/>
          <w:szCs w:val="24"/>
          <w:u w:val="single"/>
          <w:lang w:val="en-US" w:eastAsia="zh-CN"/>
        </w:rPr>
        <w:t>南京医科大学</w:t>
      </w:r>
      <w:r>
        <w:rPr>
          <w:rFonts w:hint="eastAsia" w:ascii="宋体" w:hAnsi="宋体" w:eastAsia="宋体" w:cs="宋体"/>
          <w:color w:val="auto"/>
          <w:sz w:val="24"/>
          <w:szCs w:val="24"/>
          <w:u w:val="single"/>
          <w:lang w:val="en-US" w:eastAsia="zh-CN"/>
        </w:rPr>
        <w:t>网络阅卷和电子试卷管理系统</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1.2项目编号：NJMUZB2242024011</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1.3项目预算：人民币</w:t>
      </w:r>
      <w:r>
        <w:rPr>
          <w:rFonts w:hint="eastAsia" w:ascii="宋体" w:hAnsi="宋体" w:eastAsia="宋体" w:cs="宋体"/>
          <w:color w:val="auto"/>
          <w:sz w:val="24"/>
          <w:szCs w:val="24"/>
          <w:lang w:val="en-US" w:eastAsia="zh-CN"/>
        </w:rPr>
        <w:t>19.8</w:t>
      </w:r>
      <w:r>
        <w:rPr>
          <w:rFonts w:hint="eastAsia" w:ascii="宋体" w:hAnsi="宋体" w:eastAsia="宋体" w:cs="宋体"/>
          <w:color w:val="auto"/>
          <w:sz w:val="24"/>
          <w:szCs w:val="24"/>
        </w:rPr>
        <w:t xml:space="preserve">万元（¥ </w:t>
      </w:r>
      <w:r>
        <w:rPr>
          <w:rFonts w:hint="eastAsia" w:ascii="宋体" w:hAnsi="宋体" w:eastAsia="宋体" w:cs="宋体"/>
          <w:color w:val="auto"/>
          <w:sz w:val="24"/>
          <w:szCs w:val="24"/>
          <w:lang w:val="en-US" w:eastAsia="zh-CN"/>
        </w:rPr>
        <w:t>198000.00</w:t>
      </w:r>
      <w:r>
        <w:rPr>
          <w:rFonts w:hint="eastAsia" w:ascii="宋体" w:hAnsi="宋体" w:eastAsia="宋体" w:cs="宋体"/>
          <w:color w:val="auto"/>
          <w:sz w:val="24"/>
          <w:szCs w:val="24"/>
        </w:rPr>
        <w:t xml:space="preserve">  ）  </w:t>
      </w:r>
    </w:p>
    <w:p>
      <w:pPr>
        <w:spacing w:before="120" w:beforeLines="50" w:after="120" w:afterLines="50" w:line="360" w:lineRule="auto"/>
        <w:ind w:firstLine="480" w:firstLineChars="200"/>
        <w:rPr>
          <w:rFonts w:hint="eastAsia" w:ascii="宋体" w:hAnsi="宋体" w:cs="宋体"/>
          <w:b/>
          <w:color w:val="C00000"/>
          <w:sz w:val="24"/>
          <w:szCs w:val="24"/>
        </w:rPr>
      </w:pPr>
      <w:r>
        <w:rPr>
          <w:rFonts w:hint="eastAsia" w:ascii="宋体" w:hAnsi="宋体" w:eastAsia="宋体" w:cs="宋体"/>
          <w:color w:val="auto"/>
          <w:sz w:val="24"/>
          <w:szCs w:val="24"/>
        </w:rPr>
        <w:t>1.4最高总限价：</w:t>
      </w:r>
      <w:r>
        <w:rPr>
          <w:rFonts w:hint="eastAsia" w:ascii="宋体" w:hAnsi="宋体" w:eastAsia="宋体" w:cs="宋体"/>
          <w:color w:val="auto"/>
          <w:sz w:val="24"/>
          <w:szCs w:val="24"/>
          <w:lang w:val="en-US" w:eastAsia="zh-CN"/>
        </w:rPr>
        <w:t>19.8</w:t>
      </w:r>
      <w:r>
        <w:rPr>
          <w:rFonts w:hint="eastAsia" w:ascii="宋体" w:hAnsi="宋体" w:eastAsia="宋体" w:cs="宋体"/>
          <w:color w:val="auto"/>
          <w:sz w:val="24"/>
          <w:szCs w:val="24"/>
        </w:rPr>
        <w:t>万元，投标报价超过最高限价的为无效投标。</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hint="eastAsia" w:ascii="宋体" w:hAnsi="宋体" w:eastAsia="宋体" w:cs="宋体"/>
          <w:b w:val="0"/>
          <w:color w:val="auto"/>
          <w:sz w:val="24"/>
          <w:szCs w:val="24"/>
          <w:lang w:eastAsia="zh-CN"/>
        </w:rPr>
      </w:pPr>
      <w:r>
        <w:rPr>
          <w:rFonts w:hint="eastAsia" w:ascii="宋体" w:hAnsi="宋体" w:eastAsia="宋体" w:cs="宋体"/>
          <w:b w:val="0"/>
          <w:bCs w:val="0"/>
          <w:color w:val="auto"/>
          <w:sz w:val="24"/>
          <w:szCs w:val="24"/>
        </w:rPr>
        <w:t>2.1</w:t>
      </w:r>
      <w:r>
        <w:rPr>
          <w:rFonts w:hint="eastAsia" w:ascii="宋体" w:hAnsi="宋体" w:eastAsia="宋体" w:cs="宋体"/>
          <w:b w:val="0"/>
          <w:color w:val="auto"/>
          <w:sz w:val="24"/>
          <w:szCs w:val="24"/>
        </w:rPr>
        <w:t>采购需求：</w:t>
      </w:r>
    </w:p>
    <w:tbl>
      <w:tblPr>
        <w:tblStyle w:val="23"/>
        <w:tblW w:w="4260" w:type="pct"/>
        <w:tblInd w:w="0" w:type="dxa"/>
        <w:tblLayout w:type="fixed"/>
        <w:tblCellMar>
          <w:top w:w="0" w:type="dxa"/>
          <w:left w:w="108" w:type="dxa"/>
          <w:bottom w:w="0" w:type="dxa"/>
          <w:right w:w="108" w:type="dxa"/>
        </w:tblCellMar>
      </w:tblPr>
      <w:tblGrid>
        <w:gridCol w:w="728"/>
        <w:gridCol w:w="4184"/>
        <w:gridCol w:w="1277"/>
        <w:gridCol w:w="1072"/>
      </w:tblGrid>
      <w:tr>
        <w:tblPrEx>
          <w:tblCellMar>
            <w:top w:w="0" w:type="dxa"/>
            <w:left w:w="108" w:type="dxa"/>
            <w:bottom w:w="0" w:type="dxa"/>
            <w:right w:w="108" w:type="dxa"/>
          </w:tblCellMar>
        </w:tblPrEx>
        <w:trPr>
          <w:trHeight w:val="362" w:hRule="atLeast"/>
          <w:tblHeader/>
        </w:trPr>
        <w:tc>
          <w:tcPr>
            <w:tcW w:w="5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序号</w:t>
            </w:r>
          </w:p>
        </w:tc>
        <w:tc>
          <w:tcPr>
            <w:tcW w:w="288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lang w:eastAsia="zh-CN"/>
              </w:rPr>
              <w:t>采</w:t>
            </w:r>
            <w:r>
              <w:rPr>
                <w:rFonts w:hint="eastAsia" w:ascii="仿宋" w:hAnsi="仿宋" w:eastAsia="仿宋" w:cs="仿宋"/>
                <w:color w:val="000000"/>
                <w:kern w:val="0"/>
                <w:sz w:val="22"/>
                <w:szCs w:val="28"/>
              </w:rPr>
              <w:t>购物资</w:t>
            </w:r>
          </w:p>
        </w:tc>
        <w:tc>
          <w:tcPr>
            <w:tcW w:w="87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计量单位</w:t>
            </w:r>
          </w:p>
        </w:tc>
        <w:tc>
          <w:tcPr>
            <w:tcW w:w="73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数量</w:t>
            </w:r>
          </w:p>
        </w:tc>
      </w:tr>
      <w:tr>
        <w:tblPrEx>
          <w:tblCellMar>
            <w:top w:w="0" w:type="dxa"/>
            <w:left w:w="108" w:type="dxa"/>
            <w:bottom w:w="0" w:type="dxa"/>
            <w:right w:w="108" w:type="dxa"/>
          </w:tblCellMar>
        </w:tblPrEx>
        <w:trPr>
          <w:trHeight w:val="496" w:hRule="atLeast"/>
        </w:trPr>
        <w:tc>
          <w:tcPr>
            <w:tcW w:w="501"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28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rPr>
              <w:t>高速阅卷扫描</w:t>
            </w:r>
            <w:r>
              <w:rPr>
                <w:rFonts w:hint="eastAsia" w:ascii="仿宋" w:hAnsi="仿宋" w:eastAsia="仿宋" w:cs="仿宋"/>
                <w:color w:val="000000"/>
                <w:kern w:val="0"/>
                <w:sz w:val="22"/>
                <w:lang w:val="en-US" w:eastAsia="zh-CN"/>
              </w:rPr>
              <w:t>机</w:t>
            </w:r>
          </w:p>
        </w:tc>
        <w:tc>
          <w:tcPr>
            <w:tcW w:w="87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73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599" w:hRule="atLeast"/>
        </w:trPr>
        <w:tc>
          <w:tcPr>
            <w:tcW w:w="501"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w:t>
            </w:r>
          </w:p>
        </w:tc>
        <w:tc>
          <w:tcPr>
            <w:tcW w:w="288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sz w:val="22"/>
                <w:szCs w:val="22"/>
                <w:u w:val="none"/>
                <w:lang w:val="en-US" w:eastAsia="zh-CN"/>
              </w:rPr>
              <w:t>网络阅卷和电子试卷管理系统</w:t>
            </w:r>
            <w:r>
              <w:rPr>
                <w:rFonts w:hint="eastAsia" w:ascii="仿宋" w:hAnsi="仿宋" w:eastAsia="仿宋" w:cs="仿宋"/>
                <w:color w:val="000000"/>
                <w:sz w:val="22"/>
                <w:szCs w:val="22"/>
                <w:u w:val="none"/>
                <w:vertAlign w:val="baseline"/>
                <w:lang w:val="en-US" w:eastAsia="zh-CN"/>
              </w:rPr>
              <w:t>（含课程目标达成度分析系统）</w:t>
            </w:r>
          </w:p>
        </w:tc>
        <w:tc>
          <w:tcPr>
            <w:tcW w:w="87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套</w:t>
            </w:r>
          </w:p>
        </w:tc>
        <w:tc>
          <w:tcPr>
            <w:tcW w:w="73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485" w:hRule="atLeast"/>
        </w:trPr>
        <w:tc>
          <w:tcPr>
            <w:tcW w:w="501"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3</w:t>
            </w:r>
          </w:p>
        </w:tc>
        <w:tc>
          <w:tcPr>
            <w:tcW w:w="28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u w:val="none"/>
                <w:lang w:val="en-US" w:eastAsia="zh-CN"/>
              </w:rPr>
              <w:t>成绩统计分析系统</w:t>
            </w:r>
          </w:p>
        </w:tc>
        <w:tc>
          <w:tcPr>
            <w:tcW w:w="87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u w:val="none"/>
                <w:lang w:val="en-US" w:eastAsia="zh-CN"/>
              </w:rPr>
              <w:t>套</w:t>
            </w:r>
          </w:p>
        </w:tc>
        <w:tc>
          <w:tcPr>
            <w:tcW w:w="73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490" w:hRule="atLeast"/>
        </w:trPr>
        <w:tc>
          <w:tcPr>
            <w:tcW w:w="501"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4</w:t>
            </w:r>
          </w:p>
        </w:tc>
        <w:tc>
          <w:tcPr>
            <w:tcW w:w="288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eastAsia="zh-CN"/>
              </w:rPr>
              <w:t>接口软件开发安装</w:t>
            </w:r>
            <w:r>
              <w:rPr>
                <w:rFonts w:hint="eastAsia" w:ascii="仿宋" w:hAnsi="仿宋" w:eastAsia="仿宋" w:cs="仿宋"/>
                <w:color w:val="000000"/>
                <w:kern w:val="0"/>
                <w:sz w:val="22"/>
              </w:rPr>
              <w:t>费</w:t>
            </w:r>
          </w:p>
        </w:tc>
        <w:tc>
          <w:tcPr>
            <w:tcW w:w="87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项</w:t>
            </w:r>
          </w:p>
        </w:tc>
        <w:tc>
          <w:tcPr>
            <w:tcW w:w="73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bl>
    <w:p>
      <w:pPr>
        <w:spacing w:before="120" w:beforeLines="50" w:after="120" w:afterLines="50" w:line="360" w:lineRule="auto"/>
        <w:ind w:firstLine="480" w:firstLineChars="200"/>
        <w:rPr>
          <w:rFonts w:hint="eastAsia" w:ascii="宋体" w:hAnsi="宋体" w:eastAsia="宋体" w:cs="宋体"/>
          <w:b w:val="0"/>
          <w:color w:val="FF0000"/>
          <w:sz w:val="24"/>
          <w:szCs w:val="24"/>
        </w:rPr>
      </w:pPr>
    </w:p>
    <w:p>
      <w:pPr>
        <w:spacing w:before="120" w:beforeLines="50" w:after="120" w:afterLines="50" w:line="360" w:lineRule="auto"/>
        <w:ind w:firstLine="480" w:firstLineChars="200"/>
        <w:rPr>
          <w:rFonts w:hint="eastAsia" w:ascii="宋体" w:hAnsi="宋体" w:eastAsia="宋体" w:cs="宋体"/>
          <w:b w:val="0"/>
          <w:color w:val="FF0000"/>
          <w:sz w:val="24"/>
          <w:szCs w:val="24"/>
        </w:rPr>
      </w:pPr>
    </w:p>
    <w:p>
      <w:pPr>
        <w:spacing w:before="120" w:beforeLines="50" w:after="120" w:afterLines="50" w:line="360" w:lineRule="auto"/>
        <w:ind w:firstLine="480" w:firstLineChars="200"/>
        <w:rPr>
          <w:rFonts w:hint="eastAsia" w:ascii="宋体" w:hAnsi="宋体" w:eastAsia="宋体" w:cs="宋体"/>
          <w:b w:val="0"/>
          <w:sz w:val="24"/>
          <w:szCs w:val="24"/>
          <w:lang w:eastAsia="zh-CN"/>
        </w:rPr>
      </w:pPr>
      <w:r>
        <w:rPr>
          <w:rFonts w:hint="eastAsia" w:ascii="宋体" w:hAnsi="宋体" w:eastAsia="宋体" w:cs="宋体"/>
          <w:b w:val="0"/>
          <w:bCs w:val="0"/>
          <w:color w:val="auto"/>
          <w:sz w:val="24"/>
          <w:szCs w:val="24"/>
        </w:rPr>
        <w:t>2.2</w:t>
      </w:r>
      <w:r>
        <w:rPr>
          <w:rFonts w:hint="eastAsia" w:ascii="宋体" w:hAnsi="宋体" w:eastAsia="宋体" w:cs="宋体"/>
          <w:b w:val="0"/>
          <w:color w:val="auto"/>
          <w:sz w:val="24"/>
          <w:szCs w:val="24"/>
        </w:rPr>
        <w:t>合同履行期限：</w:t>
      </w: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个工作日内完成安装及调试</w:t>
      </w:r>
      <w:r>
        <w:rPr>
          <w:rFonts w:hint="eastAsia" w:ascii="宋体" w:hAnsi="宋体" w:eastAsia="宋体" w:cs="宋体"/>
          <w:sz w:val="24"/>
          <w:szCs w:val="24"/>
          <w:lang w:eastAsia="zh-CN"/>
        </w:rPr>
        <w:t>。</w:t>
      </w:r>
    </w:p>
    <w:p>
      <w:pPr>
        <w:spacing w:before="120" w:beforeLines="50" w:after="120" w:afterLines="50" w:line="360" w:lineRule="auto"/>
        <w:ind w:firstLine="480" w:firstLineChars="200"/>
        <w:rPr>
          <w:rFonts w:hint="eastAsia" w:ascii="宋体" w:hAnsi="宋体" w:eastAsia="宋体" w:cs="宋体"/>
          <w:b w:val="0"/>
          <w:color w:val="FF0000"/>
          <w:sz w:val="24"/>
          <w:szCs w:val="24"/>
          <w:lang w:val="en-US" w:eastAsia="zh-CN"/>
        </w:rPr>
      </w:pPr>
      <w:r>
        <w:rPr>
          <w:rFonts w:hint="eastAsia" w:ascii="宋体" w:hAnsi="宋体" w:eastAsia="宋体" w:cs="宋体"/>
          <w:b w:val="0"/>
          <w:color w:val="auto"/>
          <w:sz w:val="24"/>
          <w:szCs w:val="24"/>
          <w:lang w:val="en-US" w:eastAsia="zh-CN"/>
        </w:rPr>
        <w:t>2.3</w:t>
      </w:r>
      <w:r>
        <w:rPr>
          <w:rFonts w:hint="eastAsia" w:ascii="宋体" w:hAnsi="宋体" w:eastAsia="宋体" w:cs="宋体"/>
          <w:b w:val="0"/>
          <w:color w:val="auto"/>
          <w:sz w:val="24"/>
          <w:szCs w:val="24"/>
        </w:rPr>
        <w:t>本项目</w:t>
      </w:r>
      <w:r>
        <w:rPr>
          <w:rFonts w:hint="eastAsia" w:ascii="宋体" w:hAnsi="宋体" w:eastAsia="宋体" w:cs="宋体"/>
          <w:b w:val="0"/>
          <w:color w:val="auto"/>
          <w:sz w:val="24"/>
          <w:szCs w:val="24"/>
          <w:lang w:val="en-US" w:eastAsia="zh-CN"/>
        </w:rPr>
        <w:t>不</w:t>
      </w:r>
      <w:r>
        <w:rPr>
          <w:rFonts w:hint="eastAsia" w:ascii="宋体" w:hAnsi="宋体" w:eastAsia="宋体" w:cs="宋体"/>
          <w:b w:val="0"/>
          <w:color w:val="auto"/>
          <w:sz w:val="24"/>
          <w:szCs w:val="24"/>
        </w:rPr>
        <w:t>接受联合体</w:t>
      </w:r>
      <w:r>
        <w:rPr>
          <w:rFonts w:hint="eastAsia" w:ascii="宋体" w:hAnsi="宋体" w:eastAsia="宋体" w:cs="宋体"/>
          <w:b w:val="0"/>
          <w:color w:val="auto"/>
          <w:sz w:val="24"/>
          <w:szCs w:val="24"/>
          <w:lang w:val="en-US" w:eastAsia="zh-CN"/>
        </w:rPr>
        <w:t>投标</w:t>
      </w:r>
      <w:r>
        <w:rPr>
          <w:rFonts w:hint="eastAsia" w:ascii="宋体" w:hAnsi="宋体" w:eastAsia="宋体" w:cs="宋体"/>
          <w:b w:val="0"/>
          <w:color w:val="auto"/>
          <w:sz w:val="24"/>
          <w:szCs w:val="24"/>
        </w:rPr>
        <w:t>。</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lang w:val="en-US" w:eastAsia="zh-CN"/>
        </w:rPr>
        <w:t>上一</w:t>
      </w:r>
      <w:r>
        <w:rPr>
          <w:rFonts w:hint="eastAsia" w:ascii="宋体" w:hAnsi="宋体" w:eastAsia="宋体" w:cs="宋体"/>
          <w:b/>
          <w:bCs/>
          <w:sz w:val="24"/>
          <w:szCs w:val="24"/>
        </w:rPr>
        <w:t>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sz w:val="24"/>
          <w:szCs w:val="24"/>
        </w:rPr>
        <w:t>5.1投标文件接收截止时间及开标时间：</w:t>
      </w:r>
      <w:r>
        <w:rPr>
          <w:rFonts w:hint="eastAsia" w:ascii="宋体" w:hAnsi="宋体" w:eastAsia="宋体" w:cs="宋体"/>
          <w:color w:val="auto"/>
          <w:sz w:val="24"/>
          <w:szCs w:val="24"/>
        </w:rPr>
        <w:t>2024年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14：15</w:t>
      </w:r>
      <w:bookmarkStart w:id="86" w:name="_GoBack"/>
      <w:bookmarkEnd w:id="86"/>
      <w:r>
        <w:rPr>
          <w:rFonts w:hint="eastAsia" w:ascii="宋体" w:hAnsi="宋体" w:eastAsia="宋体" w:cs="宋体"/>
          <w:color w:val="auto"/>
          <w:sz w:val="24"/>
          <w:szCs w:val="24"/>
        </w:rPr>
        <w:t>点</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联系人：  </w:t>
      </w:r>
      <w:r>
        <w:rPr>
          <w:rFonts w:hint="eastAsia" w:ascii="宋体" w:hAnsi="宋体" w:eastAsia="宋体" w:cs="宋体"/>
          <w:color w:val="auto"/>
          <w:sz w:val="24"/>
          <w:szCs w:val="24"/>
          <w:lang w:val="en-US" w:eastAsia="zh-CN"/>
        </w:rPr>
        <w:t>葛子济</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025-86869177</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联系地址：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10"/>
    <w:bookmarkEnd w:id="11"/>
    <w:bookmarkEnd w:id="12"/>
    <w:bookmarkEnd w:id="13"/>
    <w:bookmarkEnd w:id="14"/>
    <w:bookmarkEnd w:id="15"/>
    <w:bookmarkEnd w:id="16"/>
    <w:bookmarkEnd w:id="17"/>
    <w:bookmarkEnd w:id="18"/>
    <w:p>
      <w:pPr>
        <w:pStyle w:val="2"/>
        <w:pageBreakBefore/>
        <w:rPr>
          <w:rFonts w:asciiTheme="majorEastAsia" w:hAnsiTheme="majorEastAsia" w:eastAsiaTheme="majorEastAsia"/>
          <w:b/>
          <w:sz w:val="32"/>
          <w:szCs w:val="32"/>
        </w:rPr>
      </w:pPr>
      <w:bookmarkStart w:id="19" w:name="_Toc28299"/>
      <w:bookmarkStart w:id="20" w:name="_Toc8848"/>
      <w:bookmarkStart w:id="21" w:name="_Toc32151"/>
      <w:r>
        <w:rPr>
          <w:rFonts w:hint="eastAsia" w:asciiTheme="majorEastAsia" w:hAnsiTheme="majorEastAsia" w:eastAsiaTheme="majorEastAsia"/>
          <w:b/>
          <w:sz w:val="32"/>
          <w:szCs w:val="32"/>
        </w:rPr>
        <w:t xml:space="preserve">第二章  </w:t>
      </w:r>
      <w:bookmarkStart w:id="22" w:name="_Toc20823274"/>
      <w:bookmarkStart w:id="23" w:name="_Toc16938518"/>
      <w:bookmarkStart w:id="24" w:name="_Toc120614213"/>
      <w:bookmarkStart w:id="25" w:name="_Toc513029202"/>
      <w:r>
        <w:rPr>
          <w:rFonts w:hint="eastAsia" w:asciiTheme="majorEastAsia" w:hAnsiTheme="majorEastAsia" w:eastAsiaTheme="majorEastAsia"/>
          <w:b/>
          <w:sz w:val="32"/>
          <w:szCs w:val="32"/>
        </w:rPr>
        <w:t>投标人须知</w:t>
      </w:r>
      <w:bookmarkEnd w:id="19"/>
      <w:bookmarkEnd w:id="20"/>
      <w:bookmarkEnd w:id="21"/>
      <w:bookmarkEnd w:id="22"/>
      <w:bookmarkEnd w:id="23"/>
      <w:bookmarkEnd w:id="24"/>
      <w:bookmarkEnd w:id="25"/>
    </w:p>
    <w:p>
      <w:pPr>
        <w:autoSpaceDE w:val="0"/>
        <w:autoSpaceDN w:val="0"/>
        <w:spacing w:line="360" w:lineRule="auto"/>
        <w:ind w:firstLine="482" w:firstLineChars="200"/>
        <w:rPr>
          <w:rFonts w:ascii="宋体" w:hAnsi="宋体" w:eastAsia="宋体" w:cs="宋体"/>
          <w:b/>
          <w:bCs/>
          <w:sz w:val="24"/>
          <w:szCs w:val="24"/>
          <w:lang w:val="zh-CN"/>
        </w:rPr>
      </w:pPr>
      <w:bookmarkStart w:id="26" w:name="_Toc16938519"/>
      <w:bookmarkStart w:id="27" w:name="_Toc20823275"/>
      <w:bookmarkStart w:id="28" w:name="_Toc513029203"/>
      <w:bookmarkStart w:id="29" w:name="_Toc120614214"/>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30" w:name="_Toc25367"/>
      <w:bookmarkStart w:id="31" w:name="_Toc14852"/>
      <w:r>
        <w:rPr>
          <w:rFonts w:hint="eastAsia" w:ascii="宋体" w:hAnsi="宋体" w:eastAsia="宋体" w:cs="宋体"/>
          <w:b/>
          <w:bCs/>
          <w:sz w:val="24"/>
          <w:szCs w:val="24"/>
          <w:lang w:val="zh-CN"/>
        </w:rPr>
        <w:t>2、定义</w:t>
      </w:r>
      <w:bookmarkEnd w:id="30"/>
      <w:bookmarkEnd w:id="31"/>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32" w:name="_Toc16293"/>
      <w:bookmarkStart w:id="33" w:name="_Toc30037"/>
      <w:r>
        <w:rPr>
          <w:rFonts w:hint="eastAsia" w:ascii="宋体" w:hAnsi="宋体" w:eastAsia="宋体" w:cs="宋体"/>
          <w:b/>
          <w:sz w:val="24"/>
          <w:szCs w:val="24"/>
          <w:lang w:val="zh-CN"/>
        </w:rPr>
        <w:t>5、招标文件的澄清、修改</w:t>
      </w:r>
      <w:bookmarkEnd w:id="32"/>
      <w:bookmarkEnd w:id="3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4" w:name="_Toc1785"/>
      <w:bookmarkStart w:id="35" w:name="_Toc29531"/>
      <w:r>
        <w:rPr>
          <w:rFonts w:hint="eastAsia" w:ascii="宋体" w:hAnsi="宋体" w:eastAsia="宋体" w:cs="宋体"/>
          <w:b/>
          <w:sz w:val="24"/>
          <w:szCs w:val="24"/>
          <w:lang w:val="zh-CN"/>
        </w:rPr>
        <w:t>三、投标</w:t>
      </w:r>
      <w:bookmarkEnd w:id="34"/>
      <w:bookmarkEnd w:id="35"/>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6" w:name="_Toc21540"/>
      <w:bookmarkStart w:id="37" w:name="_Toc17243"/>
      <w:r>
        <w:rPr>
          <w:rFonts w:hint="eastAsia" w:ascii="宋体" w:hAnsi="宋体" w:eastAsia="宋体" w:cs="宋体"/>
          <w:b/>
          <w:sz w:val="24"/>
          <w:szCs w:val="24"/>
          <w:lang w:val="zh-CN"/>
        </w:rPr>
        <w:t>四、开标、评标与确定中标投标人</w:t>
      </w:r>
      <w:bookmarkEnd w:id="36"/>
      <w:bookmarkEnd w:id="37"/>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3"/>
        <w:rPr>
          <w:rFonts w:ascii="宋体" w:hAnsi="宋体" w:cs="宋体"/>
          <w:b/>
        </w:rPr>
      </w:pPr>
      <w:bookmarkStart w:id="38" w:name="_Toc16938553"/>
      <w:bookmarkStart w:id="39" w:name="_Toc513029237"/>
      <w:bookmarkStart w:id="40"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8"/>
      <w:bookmarkEnd w:id="39"/>
      <w:bookmarkEnd w:id="40"/>
    </w:p>
    <w:p>
      <w:pPr>
        <w:spacing w:line="360" w:lineRule="auto"/>
        <w:ind w:firstLine="472" w:firstLineChars="196"/>
        <w:rPr>
          <w:rFonts w:ascii="宋体" w:hAnsi="宋体" w:eastAsia="宋体" w:cs="宋体"/>
          <w:b/>
          <w:sz w:val="24"/>
          <w:szCs w:val="24"/>
          <w:lang w:val="zh-CN"/>
        </w:rPr>
      </w:pPr>
      <w:bookmarkStart w:id="41" w:name="_Toc10016"/>
      <w:bookmarkStart w:id="42" w:name="_Toc5321"/>
      <w:r>
        <w:rPr>
          <w:rFonts w:hint="eastAsia" w:ascii="宋体" w:hAnsi="宋体" w:eastAsia="宋体" w:cs="宋体"/>
          <w:b/>
          <w:sz w:val="24"/>
          <w:szCs w:val="24"/>
          <w:lang w:val="zh-CN"/>
        </w:rPr>
        <w:t>五、签订合同</w:t>
      </w:r>
      <w:bookmarkEnd w:id="41"/>
      <w:bookmarkEnd w:id="42"/>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3"/>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43" w:name="_Toc241"/>
      <w:bookmarkStart w:id="44"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43"/>
      <w:bookmarkEnd w:id="44"/>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3"/>
        <w:rPr>
          <w:rFonts w:ascii="宋体" w:hAnsi="宋体" w:cs="宋体"/>
          <w:lang w:val="zh-CN"/>
        </w:rPr>
      </w:pPr>
    </w:p>
    <w:p>
      <w:pPr>
        <w:pStyle w:val="33"/>
        <w:rPr>
          <w:rFonts w:ascii="宋体" w:hAnsi="宋体" w:cs="宋体"/>
          <w:lang w:val="zh-CN"/>
        </w:rPr>
      </w:pPr>
    </w:p>
    <w:bookmarkEnd w:id="26"/>
    <w:bookmarkEnd w:id="27"/>
    <w:bookmarkEnd w:id="28"/>
    <w:bookmarkEnd w:id="29"/>
    <w:p>
      <w:pPr>
        <w:pStyle w:val="2"/>
        <w:pageBreakBefore/>
        <w:rPr>
          <w:rFonts w:asciiTheme="majorEastAsia" w:hAnsiTheme="majorEastAsia" w:eastAsiaTheme="majorEastAsia"/>
          <w:b/>
          <w:sz w:val="32"/>
          <w:szCs w:val="32"/>
        </w:rPr>
      </w:pPr>
      <w:bookmarkStart w:id="45" w:name="_Toc16007"/>
      <w:bookmarkStart w:id="46" w:name="_Toc23761"/>
      <w:bookmarkStart w:id="47" w:name="_Toc31620"/>
      <w:r>
        <w:rPr>
          <w:rFonts w:hint="eastAsia" w:asciiTheme="majorEastAsia" w:hAnsiTheme="majorEastAsia" w:eastAsiaTheme="majorEastAsia"/>
          <w:b/>
          <w:sz w:val="32"/>
          <w:szCs w:val="32"/>
        </w:rPr>
        <w:t>第三章  项目需求</w:t>
      </w:r>
      <w:bookmarkEnd w:id="45"/>
      <w:bookmarkEnd w:id="46"/>
      <w:bookmarkEnd w:id="47"/>
    </w:p>
    <w:p/>
    <w:p>
      <w:pPr>
        <w:pStyle w:val="39"/>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098"/>
        <w:gridCol w:w="1310"/>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2098" w:type="dxa"/>
            <w:vAlign w:val="center"/>
          </w:tcPr>
          <w:p>
            <w:pPr>
              <w:pStyle w:val="39"/>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310" w:type="dxa"/>
            <w:vAlign w:val="center"/>
          </w:tcPr>
          <w:p>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39"/>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098" w:type="dxa"/>
            <w:vAlign w:val="bottom"/>
          </w:tcPr>
          <w:p>
            <w:pPr>
              <w:pStyle w:val="39"/>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高速阅卷扫描机</w:t>
            </w:r>
          </w:p>
        </w:tc>
        <w:tc>
          <w:tcPr>
            <w:tcW w:w="1310" w:type="dxa"/>
            <w:vAlign w:val="bottom"/>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1705" w:type="dxa"/>
            <w:vAlign w:val="bottom"/>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台</w:t>
            </w:r>
          </w:p>
        </w:tc>
        <w:tc>
          <w:tcPr>
            <w:tcW w:w="1705" w:type="dxa"/>
            <w:vMerge w:val="restart"/>
            <w:vAlign w:val="bottom"/>
          </w:tcPr>
          <w:p>
            <w:pPr>
              <w:pStyle w:val="39"/>
              <w:widowControl w:val="0"/>
              <w:spacing w:line="360" w:lineRule="auto"/>
              <w:ind w:firstLine="0" w:firstLine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198000.00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98" w:type="dxa"/>
            <w:vAlign w:val="bottom"/>
          </w:tcPr>
          <w:p>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网络阅卷和电子试卷管理系统（含课程目标达成度分析系统）</w:t>
            </w:r>
          </w:p>
        </w:tc>
        <w:tc>
          <w:tcPr>
            <w:tcW w:w="1310"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5"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套</w:t>
            </w:r>
          </w:p>
        </w:tc>
        <w:tc>
          <w:tcPr>
            <w:tcW w:w="1705" w:type="dxa"/>
            <w:vMerge w:val="continue"/>
            <w:vAlign w:val="bottom"/>
          </w:tcPr>
          <w:p>
            <w:pPr>
              <w:pStyle w:val="39"/>
              <w:widowControl w:val="0"/>
              <w:spacing w:line="360" w:lineRule="auto"/>
              <w:ind w:firstLine="482"/>
              <w:jc w:val="both"/>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098" w:type="dxa"/>
            <w:vAlign w:val="bottom"/>
          </w:tcPr>
          <w:p>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t>成绩统计分析系统</w:t>
            </w:r>
          </w:p>
        </w:tc>
        <w:tc>
          <w:tcPr>
            <w:tcW w:w="1310"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5"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批</w:t>
            </w:r>
          </w:p>
        </w:tc>
        <w:tc>
          <w:tcPr>
            <w:tcW w:w="1705" w:type="dxa"/>
            <w:vMerge w:val="continue"/>
            <w:vAlign w:val="bottom"/>
          </w:tcPr>
          <w:p>
            <w:pPr>
              <w:pStyle w:val="39"/>
              <w:widowControl w:val="0"/>
              <w:spacing w:line="360" w:lineRule="auto"/>
              <w:ind w:firstLine="482"/>
              <w:jc w:val="both"/>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098" w:type="dxa"/>
            <w:vAlign w:val="bottom"/>
          </w:tcPr>
          <w:p>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接口软件开发安装费</w:t>
            </w:r>
          </w:p>
        </w:tc>
        <w:tc>
          <w:tcPr>
            <w:tcW w:w="1310" w:type="dxa"/>
            <w:vAlign w:val="bottom"/>
          </w:tcPr>
          <w:p>
            <w:pPr>
              <w:pStyle w:val="39"/>
              <w:widowControl w:val="0"/>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705" w:type="dxa"/>
            <w:vAlign w:val="bottom"/>
          </w:tcPr>
          <w:p>
            <w:pPr>
              <w:pStyle w:val="39"/>
              <w:widowControl w:val="0"/>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w:t>
            </w:r>
          </w:p>
        </w:tc>
        <w:tc>
          <w:tcPr>
            <w:tcW w:w="1705" w:type="dxa"/>
            <w:vMerge w:val="continue"/>
            <w:vAlign w:val="bottom"/>
          </w:tcPr>
          <w:p>
            <w:pPr>
              <w:pStyle w:val="39"/>
              <w:widowControl w:val="0"/>
              <w:spacing w:line="360" w:lineRule="auto"/>
              <w:ind w:firstLine="482"/>
              <w:jc w:val="both"/>
              <w:rPr>
                <w:rFonts w:ascii="宋体" w:hAnsi="宋体" w:eastAsia="宋体" w:cs="宋体"/>
                <w:b/>
                <w:bCs/>
                <w:sz w:val="24"/>
                <w:szCs w:val="24"/>
              </w:rPr>
            </w:pPr>
          </w:p>
        </w:tc>
      </w:tr>
    </w:tbl>
    <w:p>
      <w:pPr>
        <w:pStyle w:val="39"/>
        <w:spacing w:line="360" w:lineRule="auto"/>
        <w:ind w:firstLine="482"/>
        <w:rPr>
          <w:rFonts w:ascii="宋体" w:hAnsi="宋体" w:eastAsia="宋体" w:cs="宋体"/>
          <w:b/>
          <w:bCs/>
          <w:sz w:val="24"/>
          <w:szCs w:val="24"/>
        </w:rPr>
      </w:pPr>
    </w:p>
    <w:p>
      <w:pPr>
        <w:pStyle w:val="39"/>
        <w:spacing w:line="360" w:lineRule="auto"/>
        <w:ind w:firstLine="482"/>
        <w:rPr>
          <w:rFonts w:ascii="宋体" w:hAnsi="宋体" w:eastAsia="宋体" w:cs="宋体"/>
          <w:b/>
          <w:bCs/>
          <w:sz w:val="24"/>
          <w:szCs w:val="24"/>
        </w:rPr>
      </w:pPr>
    </w:p>
    <w:p>
      <w:pPr>
        <w:pStyle w:val="39"/>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tbl>
      <w:tblPr>
        <w:tblStyle w:val="23"/>
        <w:tblW w:w="5000" w:type="pct"/>
        <w:tblInd w:w="0" w:type="dxa"/>
        <w:tblLayout w:type="fixed"/>
        <w:tblCellMar>
          <w:top w:w="0" w:type="dxa"/>
          <w:left w:w="108" w:type="dxa"/>
          <w:bottom w:w="0" w:type="dxa"/>
          <w:right w:w="108" w:type="dxa"/>
        </w:tblCellMar>
      </w:tblPr>
      <w:tblGrid>
        <w:gridCol w:w="354"/>
        <w:gridCol w:w="684"/>
        <w:gridCol w:w="6002"/>
        <w:gridCol w:w="630"/>
        <w:gridCol w:w="496"/>
        <w:gridCol w:w="356"/>
      </w:tblGrid>
      <w:tr>
        <w:tblPrEx>
          <w:tblCellMar>
            <w:top w:w="0" w:type="dxa"/>
            <w:left w:w="108" w:type="dxa"/>
            <w:bottom w:w="0" w:type="dxa"/>
            <w:right w:w="108" w:type="dxa"/>
          </w:tblCellMar>
        </w:tblPrEx>
        <w:trPr>
          <w:trHeight w:val="702" w:hRule="atLeast"/>
          <w:tblHeader/>
        </w:trPr>
        <w:tc>
          <w:tcPr>
            <w:tcW w:w="2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序号</w:t>
            </w:r>
          </w:p>
        </w:tc>
        <w:tc>
          <w:tcPr>
            <w:tcW w:w="40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拟采购物资</w:t>
            </w:r>
          </w:p>
        </w:tc>
        <w:tc>
          <w:tcPr>
            <w:tcW w:w="352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技术参数及有关说明</w:t>
            </w:r>
          </w:p>
        </w:tc>
        <w:tc>
          <w:tcPr>
            <w:tcW w:w="36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计量单位</w:t>
            </w:r>
          </w:p>
        </w:tc>
        <w:tc>
          <w:tcPr>
            <w:tcW w:w="29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数量</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8"/>
              </w:rPr>
            </w:pPr>
            <w:r>
              <w:rPr>
                <w:rFonts w:hint="eastAsia" w:ascii="仿宋" w:hAnsi="仿宋" w:eastAsia="仿宋" w:cs="仿宋"/>
                <w:color w:val="000000"/>
                <w:kern w:val="0"/>
                <w:sz w:val="22"/>
                <w:szCs w:val="28"/>
              </w:rPr>
              <w:t>备注</w:t>
            </w:r>
          </w:p>
        </w:tc>
      </w:tr>
      <w:tr>
        <w:tblPrEx>
          <w:tblCellMar>
            <w:top w:w="0" w:type="dxa"/>
            <w:left w:w="108" w:type="dxa"/>
            <w:bottom w:w="0" w:type="dxa"/>
            <w:right w:w="108" w:type="dxa"/>
          </w:tblCellMar>
        </w:tblPrEx>
        <w:trPr>
          <w:trHeight w:val="4536" w:hRule="atLeast"/>
        </w:trPr>
        <w:tc>
          <w:tcPr>
            <w:tcW w:w="20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4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高速</w:t>
            </w:r>
            <w:r>
              <w:rPr>
                <w:rFonts w:hint="eastAsia" w:ascii="仿宋" w:hAnsi="仿宋" w:eastAsia="仿宋" w:cs="仿宋"/>
                <w:color w:val="000000"/>
                <w:kern w:val="0"/>
                <w:sz w:val="22"/>
              </w:rPr>
              <w:t>阅卷</w:t>
            </w:r>
            <w:r>
              <w:rPr>
                <w:rFonts w:hint="eastAsia" w:ascii="仿宋" w:hAnsi="仿宋" w:eastAsia="仿宋" w:cs="仿宋"/>
                <w:color w:val="000000"/>
                <w:kern w:val="0"/>
                <w:sz w:val="22"/>
                <w:lang w:eastAsia="zh-CN"/>
              </w:rPr>
              <w:t>扫描机</w:t>
            </w:r>
          </w:p>
        </w:tc>
        <w:tc>
          <w:tcPr>
            <w:tcW w:w="3521" w:type="pct"/>
            <w:tcBorders>
              <w:top w:val="nil"/>
              <w:left w:val="nil"/>
              <w:bottom w:val="single" w:color="auto" w:sz="4" w:space="0"/>
              <w:right w:val="single" w:color="auto" w:sz="4" w:space="0"/>
            </w:tcBorders>
            <w:noWrap w:val="0"/>
            <w:vAlign w:val="center"/>
          </w:tcPr>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①阅卷</w:t>
            </w:r>
            <w:r>
              <w:rPr>
                <w:rFonts w:hint="eastAsia" w:ascii="仿宋" w:hAnsi="仿宋" w:eastAsia="仿宋" w:cs="仿宋"/>
                <w:sz w:val="22"/>
                <w:szCs w:val="22"/>
                <w:lang w:eastAsia="zh-CN"/>
              </w:rPr>
              <w:t>扫描机为</w:t>
            </w:r>
            <w:r>
              <w:rPr>
                <w:rFonts w:hint="eastAsia" w:ascii="仿宋" w:hAnsi="仿宋" w:eastAsia="仿宋" w:cs="仿宋"/>
                <w:sz w:val="22"/>
                <w:szCs w:val="22"/>
              </w:rPr>
              <w:t>国产设备，扫描方式：</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"https://detail.zol.com.cn/scanner/s2937/" </w:instrText>
            </w:r>
            <w:r>
              <w:rPr>
                <w:rFonts w:hint="eastAsia" w:ascii="仿宋" w:hAnsi="仿宋" w:eastAsia="仿宋" w:cs="仿宋"/>
                <w:sz w:val="22"/>
                <w:szCs w:val="22"/>
              </w:rPr>
              <w:fldChar w:fldCharType="separate"/>
            </w:r>
            <w:r>
              <w:rPr>
                <w:rFonts w:hint="eastAsia" w:ascii="仿宋" w:hAnsi="仿宋" w:eastAsia="仿宋" w:cs="仿宋"/>
                <w:sz w:val="22"/>
                <w:szCs w:val="22"/>
              </w:rPr>
              <w:t>馈纸式</w:t>
            </w:r>
            <w:r>
              <w:rPr>
                <w:rFonts w:hint="eastAsia" w:ascii="仿宋" w:hAnsi="仿宋" w:eastAsia="仿宋" w:cs="仿宋"/>
                <w:sz w:val="22"/>
                <w:szCs w:val="22"/>
              </w:rPr>
              <w:fldChar w:fldCharType="end"/>
            </w:r>
            <w:r>
              <w:rPr>
                <w:rFonts w:hint="eastAsia" w:ascii="仿宋" w:hAnsi="仿宋" w:eastAsia="仿宋" w:cs="仿宋"/>
                <w:sz w:val="22"/>
                <w:szCs w:val="22"/>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②★接口：USB3.0、网线接口、</w:t>
            </w:r>
            <w:r>
              <w:rPr>
                <w:rFonts w:hint="eastAsia" w:ascii="仿宋" w:hAnsi="仿宋" w:eastAsia="仿宋" w:cs="仿宋"/>
                <w:sz w:val="22"/>
                <w:szCs w:val="22"/>
                <w:lang w:eastAsia="zh-CN"/>
              </w:rPr>
              <w:t>蓝牙接口</w:t>
            </w:r>
            <w:r>
              <w:rPr>
                <w:rFonts w:hint="eastAsia" w:ascii="仿宋" w:hAnsi="仿宋" w:eastAsia="仿宋" w:cs="仿宋"/>
                <w:sz w:val="22"/>
                <w:szCs w:val="22"/>
              </w:rPr>
              <w:t>、</w:t>
            </w:r>
            <w:r>
              <w:rPr>
                <w:rFonts w:hint="eastAsia" w:ascii="仿宋" w:hAnsi="仿宋" w:eastAsia="仿宋" w:cs="仿宋"/>
                <w:sz w:val="22"/>
                <w:szCs w:val="22"/>
                <w:lang w:val="en-US" w:eastAsia="zh-CN"/>
              </w:rPr>
              <w:t>type-c</w:t>
            </w:r>
            <w:r>
              <w:rPr>
                <w:rFonts w:hint="eastAsia" w:ascii="仿宋" w:hAnsi="仿宋" w:eastAsia="仿宋" w:cs="仿宋"/>
                <w:sz w:val="22"/>
                <w:szCs w:val="22"/>
              </w:rPr>
              <w:t>。</w:t>
            </w:r>
          </w:p>
          <w:p>
            <w:pPr>
              <w:rPr>
                <w:rFonts w:hint="eastAsia" w:ascii="仿宋" w:hAnsi="仿宋" w:eastAsia="仿宋" w:cs="仿宋"/>
                <w:sz w:val="22"/>
                <w:szCs w:val="22"/>
              </w:rPr>
            </w:pPr>
            <w:r>
              <w:rPr>
                <w:rFonts w:hint="eastAsia" w:ascii="仿宋" w:hAnsi="仿宋" w:eastAsia="仿宋" w:cs="仿宋"/>
                <w:sz w:val="22"/>
                <w:szCs w:val="22"/>
              </w:rPr>
              <w:t>③★扫描速度：不低于200ppm/400ipm（A3幅面</w:t>
            </w:r>
            <w:r>
              <w:rPr>
                <w:rFonts w:hint="eastAsia" w:ascii="仿宋" w:hAnsi="仿宋" w:eastAsia="仿宋" w:cs="仿宋"/>
                <w:sz w:val="22"/>
                <w:szCs w:val="22"/>
                <w:lang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④★输出分辨率：100DPI-1200DPI；支持最少28种自定义扫描配置;支持TWAIN、ISIS 和 WIA 驱动程序。</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⑤进纸：不少于400张 80 g/m²的纸张; 重张检测：超声波检测、长度检测。</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⑥★扫描模式：无需连接</w:t>
            </w:r>
            <w:r>
              <w:rPr>
                <w:rFonts w:hint="eastAsia" w:ascii="仿宋" w:hAnsi="仿宋" w:eastAsia="仿宋" w:cs="仿宋"/>
                <w:sz w:val="22"/>
                <w:szCs w:val="22"/>
                <w:lang w:val="en-US" w:eastAsia="zh-CN"/>
              </w:rPr>
              <w:t>电脑</w:t>
            </w:r>
            <w:r>
              <w:rPr>
                <w:rFonts w:hint="eastAsia" w:ascii="仿宋" w:hAnsi="仿宋" w:eastAsia="仿宋" w:cs="仿宋"/>
                <w:sz w:val="22"/>
                <w:szCs w:val="22"/>
              </w:rPr>
              <w:t>扫描（可脱机扫描），扫描数据可直接上传至阅卷平台。</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⑦光源：五条LED灯阵列。</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⑧扫描仪控制屏幕：可通过扫描仪屏幕进行重张进纸校准、设置操作员密码等操作; 可通过扫描仪屏幕检查耗材使用情况、设备操作日志等信息;可以一键快捷扫描。</w:t>
            </w:r>
          </w:p>
          <w:p>
            <w:pPr>
              <w:spacing w:line="240" w:lineRule="exact"/>
              <w:rPr>
                <w:rFonts w:hint="eastAsia" w:ascii="仿宋" w:hAnsi="仿宋" w:eastAsia="仿宋" w:cs="仿宋"/>
                <w:color w:val="000000"/>
                <w:kern w:val="0"/>
                <w:sz w:val="22"/>
              </w:rPr>
            </w:pPr>
            <w:r>
              <w:rPr>
                <w:rFonts w:hint="eastAsia" w:ascii="仿宋" w:hAnsi="仿宋" w:eastAsia="仿宋" w:cs="仿宋"/>
                <w:color w:val="000000"/>
                <w:kern w:val="0"/>
                <w:sz w:val="22"/>
              </w:rPr>
              <w:t>⑨★文件输出格式：单页和多页 TIFF、JPEG、RTF、BMP、PDF;支持浏览器调用扫描仪插件（扫描图像可根据用户要求自动加水印，如加入“内部文件，禁止截图，禁止拷贝”等信息；扫描图像后，除用户部门指定人员外，其他人不能浏览图像信息，只有用户部门经授权人员用指定软件才能浏览图像内容）。</w:t>
            </w:r>
          </w:p>
        </w:tc>
        <w:tc>
          <w:tcPr>
            <w:tcW w:w="36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29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1395" w:hRule="atLeast"/>
        </w:trPr>
        <w:tc>
          <w:tcPr>
            <w:tcW w:w="20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40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网</w:t>
            </w:r>
            <w:r>
              <w:rPr>
                <w:rFonts w:hint="eastAsia" w:ascii="仿宋" w:hAnsi="仿宋" w:eastAsia="仿宋" w:cs="仿宋"/>
                <w:color w:val="000000"/>
                <w:kern w:val="0"/>
                <w:sz w:val="22"/>
                <w:lang w:eastAsia="zh-CN"/>
              </w:rPr>
              <w:t>络</w:t>
            </w:r>
            <w:r>
              <w:rPr>
                <w:rFonts w:hint="eastAsia" w:ascii="仿宋" w:hAnsi="仿宋" w:eastAsia="仿宋" w:cs="仿宋"/>
                <w:color w:val="000000"/>
                <w:kern w:val="0"/>
                <w:sz w:val="22"/>
              </w:rPr>
              <w:t>阅卷和电子试卷</w:t>
            </w:r>
            <w:r>
              <w:rPr>
                <w:rFonts w:hint="eastAsia" w:ascii="仿宋" w:hAnsi="仿宋" w:eastAsia="仿宋" w:cs="仿宋"/>
                <w:color w:val="000000"/>
                <w:kern w:val="0"/>
                <w:sz w:val="22"/>
                <w:lang w:eastAsia="zh-CN"/>
              </w:rPr>
              <w:t>管理</w:t>
            </w:r>
            <w:r>
              <w:rPr>
                <w:rFonts w:hint="eastAsia" w:ascii="仿宋" w:hAnsi="仿宋" w:eastAsia="仿宋" w:cs="仿宋"/>
                <w:color w:val="000000"/>
                <w:kern w:val="0"/>
                <w:sz w:val="22"/>
              </w:rPr>
              <w:t>系统</w:t>
            </w:r>
          </w:p>
        </w:tc>
        <w:tc>
          <w:tcPr>
            <w:tcW w:w="3521" w:type="pct"/>
            <w:tcBorders>
              <w:top w:val="nil"/>
              <w:left w:val="nil"/>
              <w:bottom w:val="single" w:color="auto" w:sz="4" w:space="0"/>
              <w:right w:val="single" w:color="auto" w:sz="4" w:space="0"/>
            </w:tcBorders>
            <w:noWrap w:val="0"/>
            <w:vAlign w:val="center"/>
          </w:tcPr>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答卷或答题卡模板设计模块</w:t>
            </w:r>
          </w:p>
          <w:p>
            <w:pPr>
              <w:pStyle w:val="56"/>
              <w:spacing w:line="240" w:lineRule="exact"/>
              <w:jc w:val="both"/>
              <w:rPr>
                <w:rFonts w:hint="eastAsia" w:ascii="仿宋" w:hAnsi="仿宋" w:eastAsia="仿宋" w:cs="仿宋"/>
                <w:sz w:val="22"/>
                <w:szCs w:val="22"/>
                <w:lang w:eastAsia="zh-CN"/>
              </w:rPr>
            </w:pPr>
            <w:r>
              <w:rPr>
                <w:rFonts w:hint="eastAsia" w:ascii="仿宋" w:hAnsi="仿宋" w:eastAsia="仿宋" w:cs="仿宋"/>
                <w:sz w:val="22"/>
                <w:szCs w:val="22"/>
              </w:rPr>
              <w:t>①有痕阅卷答题卡制作程序，能制作任意纸张大小、任意客观题数量搭配、任意数量主观题框及给分框等满足有痕阅卷各种要求的答卷或答题卡，简单一键式生成有痕阅卷专用答题卡</w:t>
            </w:r>
            <w:r>
              <w:rPr>
                <w:rFonts w:hint="eastAsia" w:ascii="仿宋" w:hAnsi="仿宋" w:eastAsia="仿宋" w:cs="仿宋"/>
                <w:sz w:val="22"/>
                <w:szCs w:val="22"/>
                <w:lang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②模板制作提供图像的平移、更换底图、放大与缩小等功能，以方便用户制作模板时简单快捷。</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具有网页制卡功能，在线制作答题卡能直接下载供打印用的WORD、PDF文件。系统能自动生成模版，分值设置等操作均在网页制卡环节一次性完成，识别引擎自动定位主观题作答区域，不需要人工设置裁切区域；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④支持</w:t>
            </w:r>
            <w:r>
              <w:rPr>
                <w:rFonts w:hint="eastAsia" w:ascii="仿宋" w:hAnsi="仿宋" w:eastAsia="仿宋" w:cs="仿宋"/>
                <w:sz w:val="22"/>
                <w:szCs w:val="22"/>
                <w:lang w:val="en-US" w:eastAsia="zh-CN"/>
              </w:rPr>
              <w:t>管理员</w:t>
            </w:r>
            <w:r>
              <w:rPr>
                <w:rFonts w:hint="eastAsia" w:ascii="仿宋" w:hAnsi="仿宋" w:eastAsia="仿宋" w:cs="仿宋"/>
                <w:sz w:val="22"/>
                <w:szCs w:val="22"/>
              </w:rPr>
              <w:t>录入主观题答案</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阅卷过程中方便老师调取答案</w:t>
            </w:r>
            <w:r>
              <w:rPr>
                <w:rFonts w:hint="eastAsia" w:ascii="仿宋" w:hAnsi="仿宋" w:eastAsia="仿宋" w:cs="仿宋"/>
                <w:sz w:val="22"/>
                <w:szCs w:val="22"/>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扫描与识别模块</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①★阅卷系统中所有学</w:t>
            </w:r>
            <w:r>
              <w:rPr>
                <w:rFonts w:hint="eastAsia" w:ascii="仿宋" w:hAnsi="仿宋" w:eastAsia="仿宋" w:cs="仿宋"/>
                <w:sz w:val="22"/>
                <w:szCs w:val="22"/>
                <w:lang w:eastAsia="zh-CN"/>
              </w:rPr>
              <w:t>生</w:t>
            </w:r>
            <w:r>
              <w:rPr>
                <w:rFonts w:hint="eastAsia" w:ascii="仿宋" w:hAnsi="仿宋" w:eastAsia="仿宋" w:cs="仿宋"/>
                <w:sz w:val="22"/>
                <w:szCs w:val="22"/>
              </w:rPr>
              <w:t>信息、教</w:t>
            </w:r>
            <w:r>
              <w:rPr>
                <w:rFonts w:hint="eastAsia" w:ascii="仿宋" w:hAnsi="仿宋" w:eastAsia="仿宋" w:cs="仿宋"/>
                <w:sz w:val="22"/>
                <w:szCs w:val="22"/>
                <w:lang w:eastAsia="zh-CN"/>
              </w:rPr>
              <w:t>师</w:t>
            </w:r>
            <w:r>
              <w:rPr>
                <w:rFonts w:hint="eastAsia" w:ascii="仿宋" w:hAnsi="仿宋" w:eastAsia="仿宋" w:cs="仿宋"/>
                <w:sz w:val="22"/>
                <w:szCs w:val="22"/>
              </w:rPr>
              <w:t>信息、考试课程信息可从教学管理信息系统中自动同步，无须手动导入</w:t>
            </w:r>
            <w:r>
              <w:rPr>
                <w:rFonts w:hint="eastAsia" w:ascii="仿宋" w:hAnsi="仿宋" w:eastAsia="仿宋" w:cs="仿宋"/>
                <w:sz w:val="22"/>
                <w:szCs w:val="22"/>
                <w:lang w:val="en-US" w:eastAsia="zh-CN"/>
              </w:rPr>
              <w:t>,</w:t>
            </w:r>
            <w:r>
              <w:rPr>
                <w:rFonts w:hint="eastAsia" w:ascii="仿宋" w:hAnsi="仿宋" w:eastAsia="仿宋" w:cs="仿宋"/>
                <w:sz w:val="22"/>
                <w:szCs w:val="22"/>
              </w:rPr>
              <w:t>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②★支持扫描仪</w:t>
            </w:r>
            <w:r>
              <w:rPr>
                <w:rFonts w:hint="eastAsia" w:ascii="仿宋" w:hAnsi="仿宋" w:eastAsia="仿宋" w:cs="仿宋"/>
                <w:sz w:val="22"/>
                <w:szCs w:val="22"/>
                <w:lang w:eastAsia="zh-CN"/>
              </w:rPr>
              <w:t>脱离电脑</w:t>
            </w:r>
            <w:r>
              <w:rPr>
                <w:rFonts w:hint="eastAsia" w:ascii="仿宋" w:hAnsi="仿宋" w:eastAsia="仿宋" w:cs="仿宋"/>
                <w:sz w:val="22"/>
                <w:szCs w:val="22"/>
              </w:rPr>
              <w:t>扫描，扫描数据直接同步至阅卷平台并可自动匹配相应模板。使用客户端可直接扫描答题卡，不依赖扫描仪自带扫描软件。支持条形码、OMR考号、二维码、手写考号的识别，支持考号含有字母识别（非数字）；提供功能截图。支持学生考号手写识别，可在无条码与考号填涂框的情况下独立使用，识别率达100%。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w:t>
            </w:r>
            <w:r>
              <w:rPr>
                <w:rFonts w:hint="eastAsia" w:ascii="仿宋" w:hAnsi="仿宋" w:eastAsia="仿宋" w:cs="仿宋"/>
                <w:b w:val="0"/>
                <w:bCs w:val="0"/>
                <w:i w:val="0"/>
                <w:iCs w:val="0"/>
                <w:color w:val="auto"/>
                <w:sz w:val="22"/>
                <w:szCs w:val="22"/>
                <w:lang w:val="en-US"/>
              </w:rPr>
              <w:t>▲</w:t>
            </w:r>
            <w:r>
              <w:rPr>
                <w:rFonts w:hint="eastAsia" w:ascii="仿宋" w:hAnsi="仿宋" w:eastAsia="仿宋" w:cs="仿宋"/>
                <w:sz w:val="22"/>
                <w:szCs w:val="22"/>
              </w:rPr>
              <w:t>支持试卷图像的平移及旋转任意角度（防止因为试卷扫描不正而需要在海量的试卷答题卡中寻找问题试卷进行二次扫描）。客观题列表，有针对答案、分数、漏选得分的智能</w:t>
            </w:r>
            <w:r>
              <w:rPr>
                <w:rFonts w:hint="eastAsia" w:ascii="仿宋" w:hAnsi="仿宋" w:eastAsia="仿宋" w:cs="仿宋"/>
                <w:sz w:val="22"/>
                <w:szCs w:val="22"/>
                <w:lang w:val="en-US" w:eastAsia="zh-CN"/>
              </w:rPr>
              <w:t>提醒</w:t>
            </w:r>
            <w:r>
              <w:rPr>
                <w:rFonts w:hint="eastAsia" w:ascii="仿宋" w:hAnsi="仿宋" w:eastAsia="仿宋" w:cs="仿宋"/>
                <w:sz w:val="22"/>
                <w:szCs w:val="22"/>
              </w:rPr>
              <w:t>功能；支持填图扫描，自动识别录入标准答案。允许印刷内容出现歪斜现象，并可自动校准；除了能识别系统制作的答题卡外能完全兼容扫描识别各种来源多种格式的网上阅卷答题卡和光标阅卷机提供的各种格式的答题卡。</w:t>
            </w:r>
          </w:p>
          <w:p>
            <w:pPr>
              <w:pStyle w:val="56"/>
              <w:spacing w:line="240" w:lineRule="exact"/>
              <w:jc w:val="both"/>
              <w:rPr>
                <w:rFonts w:hint="eastAsia" w:ascii="仿宋" w:hAnsi="仿宋" w:eastAsia="仿宋" w:cs="仿宋"/>
                <w:sz w:val="22"/>
                <w:szCs w:val="22"/>
                <w:lang w:val="en-US" w:eastAsia="zh-CN"/>
              </w:rPr>
            </w:pPr>
            <w:r>
              <w:rPr>
                <w:rFonts w:hint="eastAsia" w:ascii="仿宋" w:hAnsi="仿宋" w:eastAsia="仿宋" w:cs="仿宋"/>
                <w:sz w:val="22"/>
                <w:szCs w:val="22"/>
              </w:rPr>
              <w:t>④★</w:t>
            </w:r>
            <w:r>
              <w:rPr>
                <w:rFonts w:hint="eastAsia" w:ascii="仿宋" w:hAnsi="仿宋" w:eastAsia="仿宋" w:cs="仿宋"/>
                <w:sz w:val="22"/>
                <w:szCs w:val="22"/>
                <w:lang w:val="en-US" w:eastAsia="zh-CN"/>
              </w:rPr>
              <w:t>系统</w:t>
            </w:r>
            <w:r>
              <w:rPr>
                <w:rFonts w:hint="eastAsia" w:ascii="仿宋" w:hAnsi="仿宋" w:eastAsia="仿宋" w:cs="仿宋"/>
                <w:sz w:val="22"/>
                <w:szCs w:val="22"/>
              </w:rPr>
              <w:t>支持</w:t>
            </w:r>
            <w:r>
              <w:rPr>
                <w:rFonts w:hint="eastAsia" w:ascii="仿宋" w:hAnsi="仿宋" w:eastAsia="仿宋" w:cs="仿宋"/>
                <w:sz w:val="22"/>
                <w:szCs w:val="22"/>
                <w:lang w:val="en-US" w:eastAsia="zh-CN"/>
              </w:rPr>
              <w:t>切换考生在线考试</w:t>
            </w:r>
            <w:r>
              <w:rPr>
                <w:rFonts w:hint="eastAsia" w:ascii="仿宋" w:hAnsi="仿宋" w:eastAsia="仿宋" w:cs="仿宋"/>
                <w:sz w:val="22"/>
                <w:szCs w:val="22"/>
              </w:rPr>
              <w:t>模式</w:t>
            </w:r>
            <w:r>
              <w:rPr>
                <w:rFonts w:hint="eastAsia" w:ascii="仿宋" w:hAnsi="仿宋" w:eastAsia="仿宋" w:cs="仿宋"/>
                <w:sz w:val="22"/>
                <w:szCs w:val="22"/>
                <w:lang w:eastAsia="zh-CN"/>
              </w:rPr>
              <w:t>，</w:t>
            </w:r>
            <w:r>
              <w:rPr>
                <w:rFonts w:hint="eastAsia" w:ascii="仿宋" w:hAnsi="仿宋" w:eastAsia="仿宋" w:cs="仿宋"/>
                <w:sz w:val="22"/>
                <w:szCs w:val="22"/>
              </w:rPr>
              <w:t>主观题支持在线作答、拍照上传两种模式、手机及移动端考试模式</w:t>
            </w:r>
            <w:r>
              <w:rPr>
                <w:rFonts w:hint="eastAsia" w:ascii="仿宋" w:hAnsi="仿宋" w:eastAsia="仿宋" w:cs="仿宋"/>
                <w:sz w:val="22"/>
                <w:szCs w:val="22"/>
                <w:lang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⑤★支持同一次考试中客观题使用机读卡，主观题使用其他任意纸张的不同纸张大小的试卷扫描与图像合并（可用于随时使用网上阅卷，不需要前期答题卡准备工作）。</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⑥在重号、错号、选择性内容出现不确定性等情况，可以采用实时处理方式也可以采用事后检查、改正、追踪等手段；</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⑦支持单选、多选的客观题任意混排，不限制客观题答案的选项数量和客观题答案的组合方式（最大的识别选项数应达到26个以上支持且不仅限于字母）。</w:t>
            </w:r>
          </w:p>
          <w:p>
            <w:pPr>
              <w:pStyle w:val="56"/>
              <w:spacing w:line="240" w:lineRule="exact"/>
              <w:jc w:val="both"/>
              <w:rPr>
                <w:rFonts w:hint="eastAsia" w:ascii="仿宋" w:hAnsi="仿宋" w:eastAsia="仿宋" w:cs="仿宋"/>
                <w:sz w:val="22"/>
                <w:szCs w:val="22"/>
                <w:lang w:eastAsia="zh-CN"/>
              </w:rPr>
            </w:pPr>
            <w:r>
              <w:rPr>
                <w:rFonts w:hint="eastAsia" w:ascii="仿宋" w:hAnsi="仿宋" w:eastAsia="仿宋" w:cs="仿宋"/>
                <w:sz w:val="22"/>
                <w:szCs w:val="22"/>
              </w:rPr>
              <w:t>⑧★支持自评、明批时，</w:t>
            </w:r>
            <w:r>
              <w:rPr>
                <w:rFonts w:hint="eastAsia" w:ascii="仿宋" w:hAnsi="仿宋" w:eastAsia="仿宋" w:cs="仿宋"/>
                <w:sz w:val="22"/>
                <w:szCs w:val="22"/>
                <w:lang w:val="en-US" w:eastAsia="zh-CN"/>
              </w:rPr>
              <w:t>阅卷过程中同步</w:t>
            </w:r>
            <w:r>
              <w:rPr>
                <w:rFonts w:hint="eastAsia" w:ascii="仿宋" w:hAnsi="仿宋" w:eastAsia="仿宋" w:cs="仿宋"/>
                <w:sz w:val="22"/>
                <w:szCs w:val="22"/>
              </w:rPr>
              <w:t>显示已批阅本试卷客观题成绩以及合分成绩</w:t>
            </w:r>
            <w:r>
              <w:rPr>
                <w:rFonts w:hint="eastAsia" w:ascii="仿宋" w:hAnsi="仿宋" w:eastAsia="仿宋" w:cs="仿宋"/>
                <w:sz w:val="22"/>
                <w:szCs w:val="22"/>
                <w:lang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⑨★系统支持多客户端扫描识别自动上传入库，</w:t>
            </w:r>
            <w:r>
              <w:rPr>
                <w:rFonts w:hint="eastAsia" w:ascii="仿宋" w:hAnsi="仿宋" w:eastAsia="仿宋" w:cs="仿宋"/>
                <w:sz w:val="22"/>
                <w:szCs w:val="22"/>
                <w:lang w:eastAsia="zh-CN"/>
              </w:rPr>
              <w:t>扫描后的图片自动增加水印，以区分是由哪个授权客户端所上传</w:t>
            </w:r>
            <w:r>
              <w:rPr>
                <w:rFonts w:hint="eastAsia" w:ascii="仿宋" w:hAnsi="仿宋" w:eastAsia="仿宋" w:cs="仿宋"/>
                <w:sz w:val="22"/>
                <w:szCs w:val="22"/>
              </w:rPr>
              <w:t>；提供功能截图。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⑩★手写文字识别：对试卷内手写文字可智能识别，可以辅助评阅部分主观题；提供功能截图。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教师</w:t>
            </w:r>
            <w:r>
              <w:rPr>
                <w:rFonts w:hint="eastAsia" w:ascii="仿宋" w:hAnsi="仿宋" w:eastAsia="仿宋" w:cs="仿宋"/>
                <w:sz w:val="22"/>
                <w:szCs w:val="22"/>
              </w:rPr>
              <w:t>网上阅卷模块</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①支持同时并发在线评卷</w:t>
            </w:r>
            <w:r>
              <w:rPr>
                <w:rFonts w:hint="eastAsia" w:ascii="仿宋" w:hAnsi="仿宋" w:eastAsia="仿宋" w:cs="仿宋"/>
                <w:sz w:val="22"/>
                <w:szCs w:val="22"/>
                <w:lang w:eastAsia="zh-CN"/>
              </w:rPr>
              <w:t>教师</w:t>
            </w:r>
            <w:r>
              <w:rPr>
                <w:rFonts w:hint="eastAsia" w:ascii="仿宋" w:hAnsi="仿宋" w:eastAsia="仿宋" w:cs="仿宋"/>
                <w:sz w:val="22"/>
                <w:szCs w:val="22"/>
              </w:rPr>
              <w:t>人数在2000人以上，取题速度小于0.1S</w:t>
            </w:r>
            <w:r>
              <w:rPr>
                <w:rFonts w:hint="eastAsia" w:ascii="仿宋" w:hAnsi="仿宋" w:eastAsia="仿宋" w:cs="仿宋"/>
                <w:sz w:val="22"/>
                <w:szCs w:val="22"/>
                <w:lang w:eastAsia="zh-CN"/>
              </w:rPr>
              <w:t>，支持归班阅卷或流水阅卷，支持明改或暗改</w:t>
            </w:r>
            <w:r>
              <w:rPr>
                <w:rFonts w:hint="eastAsia" w:ascii="仿宋" w:hAnsi="仿宋" w:eastAsia="仿宋" w:cs="仿宋"/>
                <w:sz w:val="22"/>
                <w:szCs w:val="22"/>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支持单人评卷、双人评卷、三人评卷等评卷方式，在双人评卷或三人评卷方式下根据误差阈值自动给出学员最终得分，对超过误差阈值的试题自动提交到阅卷审核人仲裁。支持对通过控制题组（多人评卷、阅卷审核人）的试评、正评、暂停、停止、复位等不同状态实现对评卷过程的管理。</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③支持对</w:t>
            </w:r>
            <w:r>
              <w:rPr>
                <w:rFonts w:hint="eastAsia" w:ascii="仿宋" w:hAnsi="仿宋" w:eastAsia="仿宋" w:cs="仿宋"/>
                <w:sz w:val="22"/>
                <w:szCs w:val="22"/>
                <w:lang w:val="en-US" w:eastAsia="zh-CN"/>
              </w:rPr>
              <w:t>教师</w:t>
            </w:r>
            <w:r>
              <w:rPr>
                <w:rFonts w:hint="eastAsia" w:ascii="仿宋" w:hAnsi="仿宋" w:eastAsia="仿宋" w:cs="仿宋"/>
                <w:sz w:val="22"/>
                <w:szCs w:val="22"/>
              </w:rPr>
              <w:t>评卷任务的快速分配和自动记忆功能，支持评卷任务量的指派。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④支持对异常答卷、优秀答卷、参考答卷及其它答卷的标注及处理下载等。主观题答案在阅卷界面可随时调取；提供功能截图。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⑤★支持阅卷系统内消息功能，阅卷</w:t>
            </w:r>
            <w:r>
              <w:rPr>
                <w:rFonts w:hint="eastAsia" w:ascii="仿宋" w:hAnsi="仿宋" w:eastAsia="仿宋" w:cs="仿宋"/>
                <w:sz w:val="22"/>
                <w:szCs w:val="22"/>
                <w:lang w:eastAsia="zh-CN"/>
              </w:rPr>
              <w:t>教师</w:t>
            </w:r>
            <w:r>
              <w:rPr>
                <w:rFonts w:hint="eastAsia" w:ascii="仿宋" w:hAnsi="仿宋" w:eastAsia="仿宋" w:cs="仿宋"/>
                <w:sz w:val="22"/>
                <w:szCs w:val="22"/>
              </w:rPr>
              <w:t>之间可以通过</w:t>
            </w:r>
            <w:r>
              <w:rPr>
                <w:rFonts w:hint="eastAsia" w:ascii="仿宋" w:hAnsi="仿宋" w:eastAsia="仿宋" w:cs="仿宋"/>
                <w:sz w:val="22"/>
                <w:szCs w:val="22"/>
                <w:lang w:eastAsia="zh-CN"/>
              </w:rPr>
              <w:t>阅卷平台</w:t>
            </w:r>
            <w:r>
              <w:rPr>
                <w:rFonts w:hint="eastAsia" w:ascii="仿宋" w:hAnsi="仿宋" w:eastAsia="仿宋" w:cs="仿宋"/>
                <w:sz w:val="22"/>
                <w:szCs w:val="22"/>
              </w:rPr>
              <w:t>互发消息和试题内容共享进行交流，不通过外网发送，从而保障试卷内容的保密性，提供软件功能截图。</w:t>
            </w:r>
          </w:p>
          <w:p>
            <w:pPr>
              <w:pStyle w:val="56"/>
              <w:spacing w:line="240" w:lineRule="exact"/>
              <w:jc w:val="both"/>
              <w:rPr>
                <w:rFonts w:hint="eastAsia" w:ascii="仿宋" w:hAnsi="仿宋" w:eastAsia="仿宋" w:cs="仿宋"/>
                <w:sz w:val="22"/>
                <w:szCs w:val="22"/>
                <w:lang w:eastAsia="zh-CN"/>
              </w:rPr>
            </w:pPr>
            <w:r>
              <w:rPr>
                <w:rFonts w:hint="eastAsia" w:ascii="仿宋" w:hAnsi="仿宋" w:eastAsia="仿宋" w:cs="仿宋"/>
                <w:sz w:val="22"/>
                <w:szCs w:val="22"/>
              </w:rPr>
              <w:t>⑥★</w:t>
            </w:r>
            <w:r>
              <w:rPr>
                <w:rFonts w:hint="eastAsia" w:ascii="仿宋" w:hAnsi="仿宋" w:eastAsia="仿宋" w:cs="仿宋"/>
                <w:sz w:val="22"/>
                <w:szCs w:val="22"/>
                <w:lang w:eastAsia="zh-CN"/>
              </w:rPr>
              <w:t>需要有考试阅卷数据动态备份软件</w:t>
            </w:r>
            <w:r>
              <w:rPr>
                <w:rFonts w:hint="eastAsia" w:ascii="仿宋" w:hAnsi="仿宋" w:eastAsia="仿宋" w:cs="仿宋"/>
                <w:sz w:val="22"/>
                <w:szCs w:val="22"/>
              </w:rPr>
              <w:t>，</w:t>
            </w:r>
            <w:r>
              <w:rPr>
                <w:rFonts w:hint="eastAsia" w:ascii="仿宋" w:hAnsi="仿宋" w:eastAsia="仿宋" w:cs="仿宋"/>
                <w:sz w:val="22"/>
                <w:szCs w:val="22"/>
                <w:lang w:eastAsia="zh-CN"/>
              </w:rPr>
              <w:t>防止阅卷数据丢失。若主服务器宕机，可以一键切换备用服务器，需提供软件功能截图。</w:t>
            </w:r>
          </w:p>
          <w:p>
            <w:pPr>
              <w:pStyle w:val="56"/>
              <w:spacing w:line="240" w:lineRule="exact"/>
              <w:jc w:val="both"/>
              <w:rPr>
                <w:rFonts w:hint="eastAsia" w:ascii="仿宋" w:hAnsi="仿宋" w:eastAsia="仿宋" w:cs="仿宋"/>
                <w:sz w:val="22"/>
                <w:szCs w:val="22"/>
                <w:lang w:eastAsia="zh-CN"/>
              </w:rPr>
            </w:pPr>
            <w:r>
              <w:rPr>
                <w:rFonts w:hint="eastAsia" w:ascii="仿宋" w:hAnsi="仿宋" w:eastAsia="仿宋" w:cs="仿宋"/>
                <w:sz w:val="22"/>
                <w:szCs w:val="22"/>
              </w:rPr>
              <w:t>⑦★支持手写板判卷，USB手写板即插即用，无需单独安装驱动，完全替代鼠标与键盘，手写分数自动识别，手写批注自动实现留痕阅卷更方便更灵活，克服传统网上阅卷批注功能死板机械的缺点</w:t>
            </w:r>
            <w:r>
              <w:rPr>
                <w:rFonts w:hint="eastAsia" w:ascii="仿宋" w:hAnsi="仿宋" w:eastAsia="仿宋" w:cs="仿宋"/>
                <w:sz w:val="22"/>
                <w:szCs w:val="22"/>
                <w:lang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⑧★支持线上投票管理功能</w:t>
            </w:r>
            <w:r>
              <w:rPr>
                <w:rFonts w:hint="eastAsia" w:ascii="仿宋" w:hAnsi="仿宋" w:eastAsia="仿宋" w:cs="仿宋"/>
                <w:sz w:val="22"/>
                <w:szCs w:val="22"/>
                <w:lang w:eastAsia="zh-CN"/>
              </w:rPr>
              <w:t>：</w:t>
            </w:r>
            <w:r>
              <w:rPr>
                <w:rFonts w:hint="eastAsia" w:ascii="仿宋" w:hAnsi="仿宋" w:eastAsia="仿宋" w:cs="仿宋"/>
                <w:sz w:val="22"/>
                <w:szCs w:val="22"/>
              </w:rPr>
              <w:t>包括新增、修改、删除、发布、终止、清空投票、查看结果、投票项目、子投票等。</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⑨★</w:t>
            </w:r>
            <w:r>
              <w:rPr>
                <w:rFonts w:hint="eastAsia" w:ascii="仿宋" w:hAnsi="仿宋" w:eastAsia="仿宋" w:cs="仿宋"/>
                <w:sz w:val="22"/>
                <w:szCs w:val="22"/>
                <w:lang w:eastAsia="zh-CN"/>
              </w:rPr>
              <w:t>教师阅卷完成后有试卷复核功能，复核改分需要提交改分理由，并同时上报至教务处或者二级学院管理账号审核；</w:t>
            </w:r>
            <w:r>
              <w:rPr>
                <w:rFonts w:hint="eastAsia" w:ascii="仿宋" w:hAnsi="仿宋" w:eastAsia="仿宋" w:cs="仿宋"/>
                <w:sz w:val="22"/>
                <w:szCs w:val="22"/>
                <w:lang w:val="en-US" w:eastAsia="zh-CN"/>
              </w:rPr>
              <w:t>管理员可设置自由复核和审核复核权限。</w:t>
            </w:r>
            <w:r>
              <w:rPr>
                <w:rFonts w:hint="eastAsia" w:ascii="仿宋" w:hAnsi="仿宋" w:eastAsia="仿宋" w:cs="仿宋"/>
                <w:sz w:val="22"/>
                <w:szCs w:val="22"/>
              </w:rPr>
              <w:t>提供软件功能截图。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⑩</w:t>
            </w:r>
            <w:r>
              <w:rPr>
                <w:rFonts w:hint="eastAsia" w:ascii="仿宋" w:hAnsi="仿宋" w:eastAsia="仿宋" w:cs="仿宋"/>
                <w:sz w:val="22"/>
                <w:szCs w:val="22"/>
                <w:lang w:val="en-US" w:eastAsia="zh-CN"/>
              </w:rPr>
              <w:t>教师</w:t>
            </w:r>
            <w:r>
              <w:rPr>
                <w:rFonts w:hint="eastAsia" w:ascii="仿宋" w:hAnsi="仿宋" w:eastAsia="仿宋" w:cs="仿宋"/>
                <w:sz w:val="22"/>
                <w:szCs w:val="22"/>
              </w:rPr>
              <w:t>阅卷过程可开启绿色护眼模式，保护视力，提供软件功能截图。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电子试卷管理模块</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①可一键生成相应科目电子试卷，并可一键按需求导出。</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②可按相应条件，一键查找相对应的电子试卷。</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③★电子试卷需含有所有电子批改痕迹，包含每题小题得分、每题评卷</w:t>
            </w:r>
            <w:r>
              <w:rPr>
                <w:rFonts w:hint="eastAsia" w:ascii="仿宋" w:hAnsi="仿宋" w:eastAsia="仿宋" w:cs="仿宋"/>
                <w:sz w:val="22"/>
                <w:szCs w:val="22"/>
                <w:lang w:val="en-US" w:eastAsia="zh-CN"/>
              </w:rPr>
              <w:t>教师</w:t>
            </w:r>
            <w:r>
              <w:rPr>
                <w:rFonts w:hint="eastAsia" w:ascii="仿宋" w:hAnsi="仿宋" w:eastAsia="仿宋" w:cs="仿宋"/>
                <w:sz w:val="22"/>
                <w:szCs w:val="22"/>
              </w:rPr>
              <w:t>信息、评卷评语、评卷记号、评卷日期</w:t>
            </w:r>
            <w:r>
              <w:rPr>
                <w:rFonts w:hint="eastAsia" w:ascii="仿宋" w:hAnsi="仿宋" w:eastAsia="仿宋" w:cs="仿宋"/>
                <w:sz w:val="22"/>
                <w:szCs w:val="22"/>
                <w:lang w:eastAsia="zh-CN"/>
              </w:rPr>
              <w:t>；</w:t>
            </w:r>
            <w:r>
              <w:rPr>
                <w:rFonts w:hint="eastAsia" w:ascii="仿宋" w:hAnsi="仿宋" w:eastAsia="仿宋" w:cs="仿宋"/>
                <w:sz w:val="22"/>
                <w:szCs w:val="22"/>
              </w:rPr>
              <w:t>若有多评须有评分轨迹；提供功能截图。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④★具有</w:t>
            </w:r>
            <w:r>
              <w:rPr>
                <w:rFonts w:hint="eastAsia" w:ascii="仿宋" w:hAnsi="仿宋" w:eastAsia="仿宋" w:cs="仿宋"/>
                <w:sz w:val="22"/>
                <w:szCs w:val="22"/>
                <w:lang w:eastAsia="zh-CN"/>
              </w:rPr>
              <w:t>教学秘书</w:t>
            </w:r>
            <w:r>
              <w:rPr>
                <w:rFonts w:hint="eastAsia" w:ascii="仿宋" w:hAnsi="仿宋" w:eastAsia="仿宋" w:cs="仿宋"/>
                <w:sz w:val="22"/>
                <w:szCs w:val="22"/>
              </w:rPr>
              <w:t>电子试卷账户管理功能，用于查询、上传考场情况记录表等相关考试文件（pdf、jpg、word、压缩包等），从而真正做到考试数据电子化管理；提供功能截图。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⑤支持学生在线查分、查卷功能，支持题干和小题分显示，支持后台开关设置；</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成绩发布和试卷质量分析模块</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①★需与教学管理信息系统对接，无需教</w:t>
            </w:r>
            <w:r>
              <w:rPr>
                <w:rFonts w:hint="eastAsia" w:ascii="仿宋" w:hAnsi="仿宋" w:eastAsia="仿宋" w:cs="仿宋"/>
                <w:sz w:val="22"/>
                <w:szCs w:val="22"/>
                <w:lang w:eastAsia="zh-CN"/>
              </w:rPr>
              <w:t>师</w:t>
            </w:r>
            <w:r>
              <w:rPr>
                <w:rFonts w:hint="eastAsia" w:ascii="仿宋" w:hAnsi="仿宋" w:eastAsia="仿宋" w:cs="仿宋"/>
                <w:sz w:val="22"/>
                <w:szCs w:val="22"/>
              </w:rPr>
              <w:t>再单独注册阅卷账号或者电子试卷管理账号。网上阅卷后的成绩能够</w:t>
            </w:r>
            <w:r>
              <w:rPr>
                <w:rFonts w:hint="eastAsia" w:ascii="仿宋" w:hAnsi="仿宋" w:eastAsia="仿宋" w:cs="仿宋"/>
                <w:sz w:val="22"/>
                <w:szCs w:val="22"/>
                <w:lang w:eastAsia="zh-CN"/>
              </w:rPr>
              <w:t>同步至</w:t>
            </w:r>
            <w:r>
              <w:rPr>
                <w:rFonts w:hint="eastAsia" w:ascii="仿宋" w:hAnsi="仿宋" w:eastAsia="仿宋" w:cs="仿宋"/>
                <w:sz w:val="22"/>
                <w:szCs w:val="22"/>
              </w:rPr>
              <w:t>教学管理信息系统。</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②按需设置不同查看成绩权限，可以一键生成</w:t>
            </w:r>
            <w:r>
              <w:rPr>
                <w:rFonts w:hint="eastAsia" w:ascii="仿宋" w:hAnsi="仿宋" w:eastAsia="仿宋" w:cs="仿宋"/>
                <w:sz w:val="22"/>
                <w:szCs w:val="22"/>
                <w:lang w:eastAsia="zh-CN"/>
              </w:rPr>
              <w:t>教师</w:t>
            </w:r>
            <w:r>
              <w:rPr>
                <w:rFonts w:hint="eastAsia" w:ascii="仿宋" w:hAnsi="仿宋" w:eastAsia="仿宋" w:cs="仿宋"/>
                <w:sz w:val="22"/>
                <w:szCs w:val="22"/>
              </w:rPr>
              <w:t>所需固定格式的试卷质量分析报告；提供功能截图。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③★支持导入形成性成绩模块，每一门课程的成绩可由终结性成绩和形成性成绩计算所得，权重可分别设置；提供功能截图。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b w:val="0"/>
                <w:bCs w:val="0"/>
                <w:i w:val="0"/>
                <w:iCs w:val="0"/>
                <w:color w:val="auto"/>
                <w:sz w:val="22"/>
                <w:szCs w:val="22"/>
                <w:lang w:val="en-US"/>
              </w:rPr>
              <w:t>▲</w:t>
            </w:r>
            <w:r>
              <w:rPr>
                <w:rFonts w:hint="eastAsia" w:ascii="仿宋" w:hAnsi="仿宋" w:eastAsia="仿宋" w:cs="仿宋"/>
                <w:sz w:val="22"/>
                <w:szCs w:val="22"/>
              </w:rPr>
              <w:t>大数据监控平台</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①支持7*24小时不间断实时监控，支持16：9高清分辨率大屏全屏显示，自动实时切换展示数据，刷新无需人工干预，无需手动刷新；</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②支持从总览、阅卷、教学、学生四个维度监控数据实时变化；（响应文件中提供软件界面功能截图）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③支持实时显示在线人数、监控系统日志、硬件资源使用情况等系统参数；</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④支持总览学校整体参与考试的教师数、学生数、扫描试卷数、考试课程数、各院系扫描、评卷完成进度等；</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⑤支持实时显示各开课院系考试完成进度，包括但不限于各个院系课程数、考试人数、教师人数、阅卷进度、扫描进度、质检进度等；</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⑥支持实时显示各科阅卷完成进度，包括但不限于实时显示教师打分分布比例、打分一致性、离散一致性、评阅速度等参数，出现异常情况及时在明显位置予以预警；</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⑦支持实时显示各开课院系已完成阅卷课程的难度、区分度、信度、及格率、优秀率、良好率、不及格率等；</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⑧支持实时显示各考试试题的题型分布、难度分布、难度曲线、区间分布、得分率、难度、区分度、峰度、偏度、效度、信度等指标；</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⑨支持实时显示各行政院系考生总及格率、考生人数、人次、专业数量、班级数量、缺考人数、不及格人数、不及格比例等；</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⑩支持按专业、年级等维度查看学生总体及格率、考试人数、人次、四率等；</w:t>
            </w:r>
          </w:p>
        </w:tc>
        <w:tc>
          <w:tcPr>
            <w:tcW w:w="36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29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615" w:hRule="atLeast"/>
        </w:trPr>
        <w:tc>
          <w:tcPr>
            <w:tcW w:w="20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3</w:t>
            </w:r>
          </w:p>
        </w:tc>
        <w:tc>
          <w:tcPr>
            <w:tcW w:w="4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成绩统计分析系统</w:t>
            </w:r>
          </w:p>
        </w:tc>
        <w:tc>
          <w:tcPr>
            <w:tcW w:w="3521" w:type="pct"/>
            <w:tcBorders>
              <w:top w:val="nil"/>
              <w:left w:val="nil"/>
              <w:bottom w:val="single" w:color="auto" w:sz="4" w:space="0"/>
              <w:right w:val="single" w:color="auto" w:sz="4" w:space="0"/>
            </w:tcBorders>
            <w:noWrap w:val="0"/>
            <w:vAlign w:val="center"/>
          </w:tcPr>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1.具有毕业要求、指标点、课程体系、课程目标等结构权重设置；</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2.具有过程性评价数据，包含期中成绩、作业、实验、实践、论文、考勤等数据配置和导入功能；</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3.★系统具有专业负责人角色，可以创建多个版本的培养方案，可以从原有培养方案上克隆新增，微调后实现持续改进；（响应文件中提供软件界面功能截图）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4.一个培养方案支持关联一个或多个年级的行政班；</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5.支持维护培养目标与毕业要求的支撑矩阵关系表，允许维护支撑权重；支持导入及导出数据（响应文件中提供软件界面功能截图）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6.允许将一个毕业要求拆分成多个毕业要求指标点，支持均分比例权重及自定义权重设置，支持维护毕业要求合格标准；支持导入导出数据；</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7.允许维护培养方案课程，及毕业要求与课程支撑的矩阵关系，可以以矩阵形式或列表形式维护；（响应文件中提供软件界面功能截图）</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8.</w:t>
            </w:r>
            <w:r>
              <w:rPr>
                <w:rFonts w:hint="eastAsia" w:ascii="仿宋" w:hAnsi="仿宋" w:eastAsia="仿宋" w:cs="仿宋"/>
                <w:b w:val="0"/>
                <w:bCs w:val="0"/>
                <w:i w:val="0"/>
                <w:iCs w:val="0"/>
                <w:color w:val="auto"/>
                <w:sz w:val="22"/>
                <w:szCs w:val="22"/>
                <w:lang w:val="en-US"/>
              </w:rPr>
              <w:t>▲</w:t>
            </w:r>
            <w:r>
              <w:rPr>
                <w:rFonts w:hint="eastAsia" w:ascii="仿宋" w:hAnsi="仿宋" w:eastAsia="仿宋" w:cs="仿宋"/>
                <w:sz w:val="22"/>
                <w:szCs w:val="22"/>
              </w:rPr>
              <w:t>专业负责人可以将课程目标达成度计算公式下放给指定课程负责人，完成任务分解；</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9.课程负责人可以维护课程目标内容，权重，以及与毕业要求的对应关系；</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10.支持在线编辑课程概述；</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11.支持课程目标与毕业要求对应关系，包含课程目标、考核内容、评价依据、课程目标权重、关联指标点；</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12.★支持课程设置考核方式与课程目标关联，包含考核类型、考核方式、考核次数、考核占比、关联考核项目、项目分值等内容；</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13.支持课程目标达成分析报告，包含课程目标、课程目标达成情况、课程达成情况，支持下载课程目标达成度及课程成绩；</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rPr>
              <w:t>14多种课程目标拆解方式，矩阵方式或拆解方式等，支持按学校要求定制化开发；</w:t>
            </w:r>
          </w:p>
          <w:p>
            <w:pPr>
              <w:pStyle w:val="56"/>
              <w:spacing w:line="240" w:lineRule="exact"/>
              <w:jc w:val="both"/>
              <w:rPr>
                <w:rFonts w:hint="eastAsia" w:ascii="仿宋" w:hAnsi="仿宋" w:eastAsia="仿宋" w:cs="仿宋"/>
                <w:color w:val="000000"/>
                <w:kern w:val="0"/>
                <w:sz w:val="22"/>
              </w:rPr>
            </w:pPr>
            <w:r>
              <w:rPr>
                <w:rFonts w:hint="eastAsia" w:ascii="仿宋" w:hAnsi="仿宋" w:eastAsia="仿宋" w:cs="仿宋"/>
                <w:sz w:val="22"/>
                <w:szCs w:val="22"/>
              </w:rPr>
              <w:t>15.支持达成度在线以柱状图、饼图、散点图等方式统计，直观展示毕业要求达成度、指标点达成度、课程达成度、学生达成度情况；（响应文件中提供软件界面功能截图）</w:t>
            </w:r>
          </w:p>
        </w:tc>
        <w:tc>
          <w:tcPr>
            <w:tcW w:w="36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套</w:t>
            </w:r>
          </w:p>
        </w:tc>
        <w:tc>
          <w:tcPr>
            <w:tcW w:w="29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tblPrEx>
          <w:tblCellMar>
            <w:top w:w="0" w:type="dxa"/>
            <w:left w:w="108" w:type="dxa"/>
            <w:bottom w:w="0" w:type="dxa"/>
            <w:right w:w="108" w:type="dxa"/>
          </w:tblCellMar>
        </w:tblPrEx>
        <w:trPr>
          <w:trHeight w:val="3395" w:hRule="atLeast"/>
        </w:trPr>
        <w:tc>
          <w:tcPr>
            <w:tcW w:w="207" w:type="pct"/>
            <w:tcBorders>
              <w:top w:val="nil"/>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w:t>
            </w:r>
          </w:p>
        </w:tc>
        <w:tc>
          <w:tcPr>
            <w:tcW w:w="4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eastAsia="zh-CN"/>
              </w:rPr>
              <w:t>接口软件开发安装</w:t>
            </w:r>
          </w:p>
        </w:tc>
        <w:tc>
          <w:tcPr>
            <w:tcW w:w="3521" w:type="pct"/>
            <w:tcBorders>
              <w:top w:val="nil"/>
              <w:left w:val="nil"/>
              <w:bottom w:val="single" w:color="auto" w:sz="4" w:space="0"/>
              <w:right w:val="single" w:color="auto" w:sz="4" w:space="0"/>
            </w:tcBorders>
            <w:noWrap w:val="0"/>
            <w:vAlign w:val="center"/>
          </w:tcPr>
          <w:p>
            <w:pPr>
              <w:pStyle w:val="56"/>
              <w:spacing w:line="24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Hans"/>
              </w:rPr>
              <w:t>信息系统要免费对接到学校公共信息平台并符合系统、数据、流程、服务接口和消息接口等要求，具体包括：</w:t>
            </w:r>
          </w:p>
          <w:p>
            <w:pPr>
              <w:pStyle w:val="56"/>
              <w:spacing w:line="24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r>
              <w:rPr>
                <w:rFonts w:hint="eastAsia" w:ascii="仿宋" w:hAnsi="仿宋" w:eastAsia="仿宋" w:cs="仿宋"/>
                <w:sz w:val="22"/>
                <w:szCs w:val="22"/>
              </w:rPr>
              <w:t>★</w:t>
            </w:r>
            <w:r>
              <w:rPr>
                <w:rFonts w:hint="eastAsia" w:ascii="仿宋" w:hAnsi="仿宋" w:eastAsia="仿宋" w:cs="仿宋"/>
                <w:sz w:val="22"/>
                <w:szCs w:val="22"/>
                <w:lang w:val="en-US" w:eastAsia="zh-Hans"/>
              </w:rPr>
              <w:t>系统接口要求；要求系统对接到学校统一身份认证中心，实现单点登录（包括但不限于：采用学校统一的人员组织结构，统一的人员编码和基本信息，本系统内用户账号的自动开设、注销）及常规登录方式</w:t>
            </w:r>
            <w:r>
              <w:rPr>
                <w:rFonts w:hint="eastAsia" w:ascii="仿宋" w:hAnsi="仿宋" w:eastAsia="仿宋" w:cs="仿宋"/>
                <w:sz w:val="22"/>
                <w:szCs w:val="22"/>
                <w:lang w:val="en-US" w:eastAsia="zh-CN"/>
              </w:rPr>
              <w:t>；</w:t>
            </w:r>
          </w:p>
          <w:p>
            <w:pPr>
              <w:pStyle w:val="56"/>
              <w:spacing w:line="24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lang w:val="en-US" w:eastAsia="zh-Hans"/>
              </w:rPr>
              <w:t>数据接口要求：要求业务数据遵循学校数据编码规范，并根据业务需要集成到学校数据中心，对于学校数据中心已有数据要做好数据双向对接，杜绝数据孤岛或二次数据采集，实现数据无缝集成共享</w:t>
            </w:r>
            <w:r>
              <w:rPr>
                <w:rFonts w:hint="eastAsia" w:ascii="仿宋" w:hAnsi="仿宋" w:eastAsia="仿宋" w:cs="仿宋"/>
                <w:sz w:val="22"/>
                <w:szCs w:val="22"/>
                <w:lang w:val="en-US" w:eastAsia="zh-CN"/>
              </w:rPr>
              <w:t>；</w:t>
            </w:r>
          </w:p>
          <w:p>
            <w:pPr>
              <w:pStyle w:val="56"/>
              <w:spacing w:line="24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r>
              <w:rPr>
                <w:rFonts w:hint="eastAsia" w:ascii="仿宋" w:hAnsi="仿宋" w:eastAsia="仿宋" w:cs="仿宋"/>
                <w:b w:val="0"/>
                <w:bCs w:val="0"/>
                <w:i w:val="0"/>
                <w:iCs w:val="0"/>
                <w:color w:val="auto"/>
                <w:sz w:val="22"/>
                <w:szCs w:val="22"/>
                <w:lang w:val="en-US"/>
              </w:rPr>
              <w:t>▲</w:t>
            </w:r>
            <w:r>
              <w:rPr>
                <w:rFonts w:hint="eastAsia" w:ascii="仿宋" w:hAnsi="仿宋" w:eastAsia="仿宋" w:cs="仿宋"/>
                <w:sz w:val="22"/>
                <w:szCs w:val="22"/>
                <w:lang w:val="en-US" w:eastAsia="zh-Hans"/>
              </w:rPr>
              <w:t>流程接口要求：要求系统内所有业务审批流程纳入学校流程管理中心统一管理，师生可以通过学校审批中心查阅、审批相关业务</w:t>
            </w:r>
            <w:r>
              <w:rPr>
                <w:rFonts w:hint="eastAsia" w:ascii="仿宋" w:hAnsi="仿宋" w:eastAsia="仿宋" w:cs="仿宋"/>
                <w:sz w:val="22"/>
                <w:szCs w:val="22"/>
                <w:lang w:val="en-US" w:eastAsia="zh-CN"/>
              </w:rPr>
              <w:t>；</w:t>
            </w:r>
          </w:p>
          <w:p>
            <w:pPr>
              <w:pStyle w:val="56"/>
              <w:spacing w:line="240" w:lineRule="exact"/>
              <w:jc w:val="both"/>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lang w:val="en-US" w:eastAsia="zh-Hans"/>
              </w:rPr>
              <w:t>消息接口要求：系统所有消息类的信息需对接学校统一消息平台</w:t>
            </w:r>
            <w:r>
              <w:rPr>
                <w:rFonts w:hint="eastAsia" w:ascii="仿宋" w:hAnsi="仿宋" w:eastAsia="仿宋" w:cs="仿宋"/>
                <w:sz w:val="22"/>
                <w:szCs w:val="22"/>
                <w:lang w:val="en-US" w:eastAsia="zh-CN"/>
              </w:rPr>
              <w:t>；</w:t>
            </w:r>
          </w:p>
        </w:tc>
        <w:tc>
          <w:tcPr>
            <w:tcW w:w="369"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项</w:t>
            </w:r>
          </w:p>
        </w:tc>
        <w:tc>
          <w:tcPr>
            <w:tcW w:w="29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718"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pStyle w:val="56"/>
              <w:spacing w:line="240" w:lineRule="exact"/>
              <w:ind w:firstLine="440" w:firstLineChars="200"/>
              <w:jc w:val="both"/>
              <w:rPr>
                <w:rFonts w:hint="eastAsia" w:ascii="仿宋" w:hAnsi="仿宋" w:eastAsia="仿宋" w:cs="仿宋"/>
                <w:sz w:val="22"/>
                <w:szCs w:val="22"/>
              </w:rPr>
            </w:pPr>
          </w:p>
          <w:p>
            <w:pPr>
              <w:pStyle w:val="56"/>
              <w:spacing w:line="240" w:lineRule="exact"/>
              <w:ind w:firstLine="440" w:firstLineChars="200"/>
              <w:jc w:val="both"/>
              <w:rPr>
                <w:rFonts w:hint="default" w:ascii="仿宋" w:hAnsi="仿宋" w:eastAsia="宋体" w:cs="仿宋"/>
                <w:color w:val="000000"/>
                <w:kern w:val="0"/>
                <w:sz w:val="22"/>
                <w:lang w:val="en-US" w:eastAsia="zh-CN"/>
              </w:rPr>
            </w:pPr>
            <w:r>
              <w:rPr>
                <w:rFonts w:hint="eastAsia" w:ascii="仿宋" w:hAnsi="仿宋" w:eastAsia="仿宋" w:cs="仿宋"/>
                <w:color w:val="auto"/>
                <w:sz w:val="22"/>
                <w:szCs w:val="22"/>
              </w:rPr>
              <w:t>以上参数中标记“★”项为</w:t>
            </w:r>
            <w:r>
              <w:rPr>
                <w:rFonts w:hint="eastAsia" w:ascii="仿宋" w:hAnsi="仿宋" w:eastAsia="仿宋" w:cs="仿宋"/>
                <w:b w:val="0"/>
                <w:bCs w:val="0"/>
                <w:i w:val="0"/>
                <w:iCs w:val="0"/>
                <w:color w:val="auto"/>
                <w:sz w:val="22"/>
                <w:szCs w:val="22"/>
              </w:rPr>
              <w:t>实质性需求项</w:t>
            </w:r>
            <w:r>
              <w:rPr>
                <w:rFonts w:hint="eastAsia" w:ascii="仿宋" w:hAnsi="仿宋" w:eastAsia="仿宋" w:cs="仿宋"/>
                <w:color w:val="auto"/>
                <w:sz w:val="22"/>
                <w:szCs w:val="22"/>
              </w:rPr>
              <w:t>不可负偏离，有一项不满足即按无效投标处理</w:t>
            </w:r>
            <w:r>
              <w:rPr>
                <w:rFonts w:hint="eastAsia" w:hAnsi="仿宋" w:cs="仿宋"/>
                <w:color w:val="auto"/>
                <w:sz w:val="22"/>
                <w:szCs w:val="22"/>
                <w:lang w:eastAsia="zh-CN"/>
              </w:rPr>
              <w:t>；</w:t>
            </w:r>
            <w:r>
              <w:rPr>
                <w:rFonts w:hint="eastAsia" w:ascii="仿宋" w:hAnsi="仿宋" w:eastAsia="仿宋" w:cs="仿宋"/>
                <w:color w:val="auto"/>
                <w:sz w:val="22"/>
                <w:szCs w:val="22"/>
              </w:rPr>
              <w:t>所有标“★”项技术参数和实现功能需提供第三方检测报告或相关截图证明材料。标记“</w:t>
            </w:r>
            <w:r>
              <w:rPr>
                <w:rFonts w:hint="eastAsia" w:ascii="仿宋" w:hAnsi="仿宋" w:eastAsia="仿宋" w:cs="仿宋"/>
                <w:b w:val="0"/>
                <w:bCs w:val="0"/>
                <w:i w:val="0"/>
                <w:iCs w:val="0"/>
                <w:color w:val="auto"/>
                <w:sz w:val="22"/>
                <w:szCs w:val="22"/>
                <w:lang w:val="en-US"/>
              </w:rPr>
              <w:t>▲</w:t>
            </w:r>
            <w:r>
              <w:rPr>
                <w:rFonts w:hint="eastAsia" w:ascii="仿宋" w:hAnsi="仿宋" w:eastAsia="仿宋" w:cs="仿宋"/>
                <w:color w:val="auto"/>
                <w:sz w:val="22"/>
                <w:szCs w:val="22"/>
              </w:rPr>
              <w:t>”项</w:t>
            </w:r>
            <w:r>
              <w:rPr>
                <w:rFonts w:hint="eastAsia" w:hAnsi="仿宋" w:cs="仿宋"/>
                <w:color w:val="auto"/>
                <w:sz w:val="22"/>
                <w:szCs w:val="22"/>
                <w:lang w:val="en-US" w:eastAsia="zh-CN"/>
              </w:rPr>
              <w:t>为</w:t>
            </w:r>
            <w:r>
              <w:rPr>
                <w:rFonts w:hint="eastAsia" w:ascii="仿宋" w:hAnsi="仿宋" w:eastAsia="仿宋" w:cs="仿宋"/>
                <w:b w:val="0"/>
                <w:bCs w:val="0"/>
                <w:i w:val="0"/>
                <w:iCs w:val="0"/>
                <w:color w:val="auto"/>
                <w:sz w:val="22"/>
                <w:szCs w:val="22"/>
              </w:rPr>
              <w:t>重要参数指标</w:t>
            </w:r>
            <w:r>
              <w:rPr>
                <w:rFonts w:hint="eastAsia" w:hAnsi="仿宋" w:cs="仿宋"/>
                <w:b w:val="0"/>
                <w:bCs w:val="0"/>
                <w:i w:val="0"/>
                <w:iCs w:val="0"/>
                <w:color w:val="auto"/>
                <w:sz w:val="22"/>
                <w:szCs w:val="22"/>
                <w:lang w:val="en-US" w:eastAsia="zh-CN"/>
              </w:rPr>
              <w:t>项</w:t>
            </w:r>
            <w:r>
              <w:rPr>
                <w:rFonts w:hint="eastAsia" w:ascii="仿宋" w:hAnsi="仿宋" w:eastAsia="仿宋" w:cs="仿宋"/>
                <w:b w:val="0"/>
                <w:bCs w:val="0"/>
                <w:i w:val="0"/>
                <w:iCs w:val="0"/>
                <w:color w:val="auto"/>
                <w:sz w:val="22"/>
                <w:szCs w:val="22"/>
                <w:lang w:eastAsia="zh-CN"/>
              </w:rPr>
              <w:t>，</w:t>
            </w:r>
            <w:r>
              <w:rPr>
                <w:rFonts w:hint="eastAsia" w:ascii="仿宋" w:hAnsi="仿宋" w:eastAsia="仿宋" w:cs="仿宋"/>
                <w:b w:val="0"/>
                <w:bCs w:val="0"/>
                <w:i w:val="0"/>
                <w:iCs w:val="0"/>
                <w:color w:val="auto"/>
                <w:sz w:val="22"/>
                <w:szCs w:val="22"/>
                <w:lang w:val="en-US" w:eastAsia="zh-CN"/>
              </w:rPr>
              <w:t>不满足一项扣2分，扣完为止。</w:t>
            </w:r>
          </w:p>
        </w:tc>
      </w:tr>
    </w:tbl>
    <w:p>
      <w:pPr>
        <w:pStyle w:val="7"/>
        <w:rPr>
          <w:rFonts w:hint="eastAsia" w:ascii="宋体" w:hAnsi="宋体" w:eastAsia="宋体" w:cs="宋体"/>
          <w:b/>
          <w:bCs/>
          <w:i/>
          <w:iCs/>
          <w:color w:val="FF0000"/>
          <w:sz w:val="24"/>
          <w:szCs w:val="24"/>
        </w:rPr>
      </w:pPr>
    </w:p>
    <w:p>
      <w:pPr>
        <w:pStyle w:val="39"/>
        <w:spacing w:line="360" w:lineRule="auto"/>
        <w:ind w:firstLine="482"/>
        <w:rPr>
          <w:rFonts w:ascii="宋体" w:hAnsi="宋体" w:eastAsia="宋体" w:cs="宋体"/>
          <w:b/>
          <w:bCs/>
          <w:sz w:val="24"/>
          <w:szCs w:val="24"/>
        </w:rPr>
      </w:pPr>
    </w:p>
    <w:p>
      <w:pPr>
        <w:pStyle w:val="39"/>
        <w:spacing w:line="360" w:lineRule="auto"/>
        <w:ind w:firstLine="0" w:firstLineChars="0"/>
        <w:rPr>
          <w:rFonts w:ascii="宋体" w:hAnsi="宋体" w:eastAsia="宋体" w:cs="宋体"/>
          <w:b/>
          <w:bCs/>
          <w:sz w:val="24"/>
          <w:szCs w:val="24"/>
        </w:rPr>
      </w:pPr>
    </w:p>
    <w:p>
      <w:pPr>
        <w:autoSpaceDE w:val="0"/>
        <w:autoSpaceDN w:val="0"/>
        <w:spacing w:line="360" w:lineRule="auto"/>
        <w:ind w:firstLine="420"/>
        <w:rPr>
          <w:rFonts w:hint="eastAsia" w:ascii="宋体" w:hAnsi="宋体" w:eastAsia="宋体" w:cs="宋体"/>
          <w:b/>
          <w:bCs/>
          <w:sz w:val="24"/>
          <w:szCs w:val="24"/>
          <w:lang w:val="zh-CN"/>
        </w:rPr>
      </w:pPr>
      <w:bookmarkStart w:id="48" w:name="_Toc9546"/>
      <w:bookmarkStart w:id="49" w:name="_Toc13108"/>
      <w:bookmarkStart w:id="50" w:name="_Toc8837"/>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三、服务要求</w:t>
      </w:r>
      <w:bookmarkEnd w:id="48"/>
      <w:bookmarkEnd w:id="4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lang w:val="zh-CN" w:eastAsia="zh-CN"/>
        </w:rPr>
        <w:t>1</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lang w:val="zh-CN" w:eastAsia="zh-CN"/>
        </w:rPr>
        <w:t>2</w:t>
      </w:r>
      <w:r>
        <w:rPr>
          <w:rFonts w:hint="eastAsia" w:ascii="宋体" w:hAnsi="宋体" w:eastAsia="宋体" w:cs="宋体"/>
          <w:sz w:val="24"/>
          <w:szCs w:val="24"/>
          <w:lang w:val="zh-CN"/>
        </w:rPr>
        <w:t>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 xml:space="preserve">期：质保期 </w:t>
      </w:r>
      <w:r>
        <w:rPr>
          <w:rFonts w:hint="eastAsia" w:ascii="宋体" w:hAnsi="宋体" w:eastAsia="宋体" w:cs="宋体"/>
          <w:sz w:val="24"/>
          <w:szCs w:val="24"/>
          <w:lang w:val="zh-CN" w:eastAsia="zh-CN"/>
        </w:rPr>
        <w:t>3</w:t>
      </w:r>
      <w:r>
        <w:rPr>
          <w:rFonts w:hint="eastAsia" w:ascii="宋体" w:hAnsi="宋体" w:eastAsia="宋体" w:cs="宋体"/>
          <w:sz w:val="24"/>
          <w:szCs w:val="24"/>
          <w:lang w:val="zh-CN"/>
        </w:rPr>
        <w:t>年，自验收合格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lang w:val="zh-CN" w:eastAsia="zh-CN"/>
        </w:rPr>
        <w:t>2</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lang w:val="zh-CN" w:eastAsia="zh-CN"/>
        </w:rPr>
        <w:t>8</w:t>
      </w:r>
      <w:r>
        <w:rPr>
          <w:rFonts w:hint="eastAsia" w:ascii="宋体" w:hAnsi="宋体" w:eastAsia="宋体" w:cs="宋体"/>
          <w:sz w:val="24"/>
          <w:szCs w:val="24"/>
          <w:lang w:val="zh-CN"/>
        </w:rPr>
        <w:t xml:space="preserve">  小时之内解决；若采购方有需求，</w:t>
      </w:r>
      <w:r>
        <w:rPr>
          <w:rFonts w:hint="eastAsia" w:ascii="宋体" w:hAnsi="宋体" w:eastAsia="宋体" w:cs="宋体"/>
          <w:sz w:val="24"/>
          <w:szCs w:val="24"/>
          <w:lang w:val="zh-CN" w:eastAsia="zh-CN"/>
        </w:rPr>
        <w:t>24</w:t>
      </w:r>
      <w:r>
        <w:rPr>
          <w:rFonts w:hint="eastAsia" w:ascii="宋体" w:hAnsi="宋体" w:eastAsia="宋体" w:cs="宋体"/>
          <w:sz w:val="24"/>
          <w:szCs w:val="24"/>
          <w:lang w:val="zh-CN"/>
        </w:rPr>
        <w:t xml:space="preserve">小时内到达现场解决；若遇重大问题在   </w:t>
      </w:r>
      <w:r>
        <w:rPr>
          <w:rFonts w:hint="eastAsia" w:ascii="宋体" w:hAnsi="宋体" w:eastAsia="宋体" w:cs="宋体"/>
          <w:sz w:val="24"/>
          <w:szCs w:val="24"/>
          <w:lang w:val="zh-CN" w:eastAsia="zh-CN"/>
        </w:rPr>
        <w:t>3</w:t>
      </w:r>
      <w:r>
        <w:rPr>
          <w:rFonts w:hint="eastAsia" w:ascii="宋体" w:hAnsi="宋体" w:eastAsia="宋体" w:cs="宋体"/>
          <w:sz w:val="24"/>
          <w:szCs w:val="24"/>
          <w:lang w:val="zh-CN"/>
        </w:rPr>
        <w:t xml:space="preserve"> 天内解决。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50"/>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51" w:name="_Toc11610"/>
      <w:r>
        <w:rPr>
          <w:rFonts w:hint="eastAsia" w:ascii="宋体" w:hAnsi="宋体" w:eastAsia="宋体" w:cs="宋体"/>
          <w:b/>
          <w:bCs/>
          <w:sz w:val="24"/>
          <w:szCs w:val="24"/>
          <w:lang w:val="zh-CN"/>
        </w:rPr>
        <w:t>五、交货期、交货方式及交货地点</w:t>
      </w:r>
      <w:bookmarkEnd w:id="51"/>
    </w:p>
    <w:p>
      <w:pPr>
        <w:autoSpaceDE/>
        <w:autoSpaceDN/>
        <w:spacing w:before="120" w:beforeLines="50" w:after="120" w:afterLines="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 交货期：</w:t>
      </w: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个工作日内完成安装及调试</w:t>
      </w:r>
      <w:r>
        <w:rPr>
          <w:rFonts w:hint="eastAsia" w:ascii="宋体" w:hAnsi="宋体" w:eastAsia="宋体" w:cs="宋体"/>
          <w:sz w:val="24"/>
          <w:szCs w:val="24"/>
          <w:lang w:eastAsia="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52" w:name="_Toc18026"/>
      <w:r>
        <w:rPr>
          <w:rFonts w:hint="eastAsia" w:ascii="宋体" w:hAnsi="宋体" w:eastAsia="宋体" w:cs="宋体"/>
          <w:b/>
          <w:bCs/>
          <w:sz w:val="24"/>
          <w:szCs w:val="24"/>
          <w:lang w:val="zh-CN"/>
        </w:rPr>
        <w:t>六、其他技术服务需求</w:t>
      </w:r>
      <w:bookmarkEnd w:id="52"/>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53" w:name="_Toc16384"/>
      <w:r>
        <w:rPr>
          <w:rFonts w:hint="eastAsia" w:ascii="宋体" w:hAnsi="宋体" w:eastAsia="宋体" w:cs="宋体"/>
          <w:b/>
          <w:bCs/>
          <w:sz w:val="24"/>
          <w:szCs w:val="24"/>
          <w:lang w:val="zh-CN"/>
        </w:rPr>
        <w:t>七、货款支付</w:t>
      </w:r>
      <w:bookmarkEnd w:id="53"/>
    </w:p>
    <w:p>
      <w:pPr>
        <w:pStyle w:val="14"/>
        <w:numPr>
          <w:ilvl w:val="0"/>
          <w:numId w:val="0"/>
        </w:numPr>
        <w:snapToGrid w:val="0"/>
        <w:spacing w:before="120" w:after="120" w:line="400" w:lineRule="exact"/>
        <w:ind w:firstLine="480" w:firstLineChars="200"/>
        <w:jc w:val="left"/>
        <w:rPr>
          <w:rFonts w:hint="eastAsia" w:hAnsi="宋体" w:eastAsia="宋体" w:cs="宋体"/>
          <w:sz w:val="24"/>
          <w:szCs w:val="24"/>
        </w:rPr>
      </w:pPr>
      <w:bookmarkStart w:id="54" w:name="_Toc401414769"/>
      <w:r>
        <w:rPr>
          <w:rFonts w:hint="eastAsia" w:hAnsi="宋体" w:eastAsia="宋体" w:cs="宋体"/>
          <w:sz w:val="24"/>
          <w:szCs w:val="24"/>
        </w:rPr>
        <w:t>服务交付且安装、调试后，并通过验收后合格一周内甲方支付合同总金额的100%，付款之前需收到乙方开具的合法有效的相应全额发票。</w:t>
      </w:r>
    </w:p>
    <w:p>
      <w:pPr>
        <w:pStyle w:val="2"/>
        <w:rPr>
          <w:rFonts w:hint="eastAsia" w:asciiTheme="majorEastAsia" w:hAnsiTheme="majorEastAsia" w:eastAsiaTheme="majorEastAsia"/>
          <w:b/>
          <w:szCs w:val="32"/>
          <w:lang w:eastAsia="zh-CN"/>
        </w:rPr>
      </w:pPr>
    </w:p>
    <w:p>
      <w:pPr>
        <w:pStyle w:val="2"/>
        <w:pageBreakBefore/>
        <w:rPr>
          <w:rFonts w:asciiTheme="majorEastAsia" w:hAnsiTheme="majorEastAsia" w:eastAsiaTheme="majorEastAsia"/>
          <w:b/>
          <w:sz w:val="32"/>
          <w:szCs w:val="32"/>
        </w:rPr>
      </w:pPr>
      <w:bookmarkStart w:id="55" w:name="_Toc1838"/>
      <w:bookmarkStart w:id="56" w:name="_Toc6447"/>
      <w:bookmarkStart w:id="57" w:name="_Toc23581"/>
      <w:r>
        <w:rPr>
          <w:rFonts w:hint="eastAsia" w:asciiTheme="majorEastAsia" w:hAnsiTheme="majorEastAsia" w:eastAsiaTheme="majorEastAsia"/>
          <w:b/>
          <w:sz w:val="32"/>
          <w:szCs w:val="32"/>
        </w:rPr>
        <w:t>第四章  评标方法与评标标准</w:t>
      </w:r>
      <w:bookmarkEnd w:id="55"/>
      <w:bookmarkEnd w:id="56"/>
      <w:bookmarkEnd w:id="57"/>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3"/>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3"/>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54"/>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b/>
                <w:bCs/>
                <w:color w:val="FF0000"/>
                <w:sz w:val="24"/>
                <w:szCs w:val="24"/>
              </w:rPr>
            </w:pPr>
            <w:r>
              <w:rPr>
                <w:rFonts w:hint="eastAsia" w:ascii="宋体" w:hAnsi="宋体" w:eastAsia="宋体" w:cs="宋体"/>
                <w:b/>
                <w:bCs/>
                <w:sz w:val="24"/>
                <w:szCs w:val="24"/>
              </w:rPr>
              <w:t>价格分</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w:t>
            </w:r>
            <w:r>
              <w:rPr>
                <w:rFonts w:hint="eastAsia" w:ascii="宋体" w:hAnsi="宋体" w:eastAsia="宋体" w:cs="宋体"/>
                <w:b/>
                <w:bCs/>
                <w:sz w:val="24"/>
                <w:szCs w:val="24"/>
                <w:lang w:val="en-US" w:eastAsia="zh-CN"/>
              </w:rPr>
              <w:t>40</w:t>
            </w:r>
            <w:r>
              <w:rPr>
                <w:rFonts w:hint="eastAsia" w:ascii="宋体" w:hAnsi="宋体" w:eastAsia="宋体" w:cs="宋体"/>
                <w:b/>
                <w:bCs/>
                <w:sz w:val="24"/>
                <w:szCs w:val="24"/>
              </w:rPr>
              <w:t>分，其它投标人的价格分统一按照以下公式计算：报价得分=(评审基准价/该投标人的最终报价)×</w:t>
            </w:r>
            <w:r>
              <w:rPr>
                <w:rFonts w:hint="eastAsia" w:ascii="宋体" w:hAnsi="宋体" w:eastAsia="宋体" w:cs="宋体"/>
                <w:b/>
                <w:bCs/>
                <w:sz w:val="24"/>
                <w:szCs w:val="24"/>
                <w:lang w:val="en-US" w:eastAsia="zh-CN"/>
              </w:rPr>
              <w:t>40</w:t>
            </w:r>
            <w:r>
              <w:rPr>
                <w:rFonts w:hint="eastAsia" w:ascii="宋体" w:hAnsi="宋体" w:eastAsia="宋体" w:cs="宋体"/>
                <w:b/>
                <w:bCs/>
                <w:sz w:val="24"/>
                <w:szCs w:val="24"/>
              </w:rPr>
              <w:t>分。</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pPr>
              <w:spacing w:line="400" w:lineRule="exact"/>
              <w:jc w:val="center"/>
              <w:rPr>
                <w:rFonts w:ascii="宋体" w:hAnsi="宋体" w:eastAsia="宋体" w:cs="宋体"/>
                <w:b/>
                <w:bCs/>
                <w:color w:val="FF0000"/>
                <w:sz w:val="24"/>
                <w:szCs w:val="24"/>
              </w:rPr>
            </w:pPr>
            <w:r>
              <w:rPr>
                <w:rFonts w:hint="eastAsia" w:ascii="宋体" w:hAnsi="宋体" w:eastAsia="宋体" w:cs="宋体"/>
                <w:b/>
                <w:bCs/>
                <w:sz w:val="24"/>
                <w:szCs w:val="24"/>
              </w:rPr>
              <w:t>技术指标</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b/>
                <w:bCs/>
                <w:sz w:val="24"/>
                <w:szCs w:val="24"/>
                <w:lang w:val="en-US"/>
              </w:rPr>
            </w:pPr>
            <w:r>
              <w:rPr>
                <w:rFonts w:hint="eastAsia" w:ascii="宋体" w:hAnsi="宋体" w:eastAsia="宋体" w:cs="宋体"/>
                <w:b/>
                <w:bCs/>
                <w:sz w:val="24"/>
                <w:szCs w:val="24"/>
              </w:rPr>
              <w:t>投标人对招标文件具体项目需求的响应程度：全部响应即满足招标文件的技术指标、参数及服务要求的得</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分，加“</w:t>
            </w:r>
            <w:r>
              <w:rPr>
                <w:rFonts w:hint="eastAsia" w:ascii="仿宋" w:hAnsi="仿宋" w:eastAsia="仿宋" w:cs="仿宋"/>
                <w:sz w:val="22"/>
                <w:szCs w:val="22"/>
              </w:rPr>
              <w:t>★</w:t>
            </w:r>
            <w:r>
              <w:rPr>
                <w:rFonts w:hint="eastAsia" w:ascii="宋体" w:hAnsi="宋体" w:eastAsia="宋体" w:cs="宋体"/>
                <w:b/>
                <w:bCs/>
                <w:sz w:val="24"/>
                <w:szCs w:val="24"/>
              </w:rPr>
              <w:t>”为实质性需求参数，</w:t>
            </w:r>
            <w:r>
              <w:rPr>
                <w:rFonts w:hint="eastAsia" w:ascii="宋体" w:hAnsi="宋体" w:eastAsia="宋体" w:cs="宋体"/>
                <w:b/>
                <w:bCs/>
                <w:sz w:val="24"/>
                <w:szCs w:val="24"/>
                <w:lang w:eastAsia="zh-CN"/>
              </w:rPr>
              <w:t>需提供第三方检测报告或相关截图证明材料，</w:t>
            </w:r>
            <w:r>
              <w:rPr>
                <w:rFonts w:hint="eastAsia" w:ascii="宋体" w:hAnsi="宋体" w:eastAsia="宋体" w:cs="宋体"/>
                <w:b/>
                <w:bCs/>
                <w:sz w:val="24"/>
                <w:szCs w:val="24"/>
              </w:rPr>
              <w:t>有一项不满足视为无效投标</w:t>
            </w:r>
            <w:r>
              <w:rPr>
                <w:rFonts w:hint="eastAsia" w:ascii="宋体" w:hAnsi="宋体" w:eastAsia="宋体" w:cs="宋体"/>
                <w:b/>
                <w:bCs/>
                <w:sz w:val="24"/>
                <w:szCs w:val="24"/>
                <w:lang w:eastAsia="zh-CN"/>
              </w:rPr>
              <w:t>；</w:t>
            </w:r>
            <w:r>
              <w:rPr>
                <w:rFonts w:hint="eastAsia" w:ascii="宋体" w:hAnsi="宋体" w:eastAsia="宋体" w:cs="宋体"/>
                <w:b/>
                <w:bCs/>
                <w:sz w:val="24"/>
                <w:szCs w:val="24"/>
              </w:rPr>
              <w:t>标记“</w:t>
            </w:r>
            <w:r>
              <w:rPr>
                <w:rFonts w:hint="eastAsia" w:ascii="宋体" w:hAnsi="宋体" w:eastAsia="宋体" w:cs="宋体"/>
                <w:b/>
                <w:bCs/>
                <w:i w:val="0"/>
                <w:iCs w:val="0"/>
                <w:sz w:val="24"/>
                <w:szCs w:val="24"/>
                <w:lang w:val="en-US"/>
              </w:rPr>
              <w:t>▲</w:t>
            </w:r>
            <w:r>
              <w:rPr>
                <w:rFonts w:hint="eastAsia" w:ascii="宋体" w:hAnsi="宋体" w:eastAsia="宋体" w:cs="宋体"/>
                <w:b/>
                <w:bCs/>
                <w:sz w:val="24"/>
                <w:szCs w:val="24"/>
              </w:rPr>
              <w:t>”项</w:t>
            </w:r>
            <w:r>
              <w:rPr>
                <w:rFonts w:hint="eastAsia" w:ascii="宋体" w:hAnsi="宋体" w:eastAsia="宋体" w:cs="宋体"/>
                <w:b/>
                <w:bCs/>
                <w:sz w:val="24"/>
                <w:szCs w:val="24"/>
                <w:lang w:val="en-US" w:eastAsia="zh-CN"/>
              </w:rPr>
              <w:t>为</w:t>
            </w:r>
            <w:r>
              <w:rPr>
                <w:rFonts w:hint="eastAsia" w:ascii="宋体" w:hAnsi="宋体" w:eastAsia="宋体" w:cs="宋体"/>
                <w:b/>
                <w:bCs/>
                <w:i w:val="0"/>
                <w:iCs w:val="0"/>
                <w:sz w:val="24"/>
                <w:szCs w:val="24"/>
              </w:rPr>
              <w:t>重要参数指标</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lang w:val="en-US" w:eastAsia="zh-CN"/>
              </w:rPr>
              <w:t>不满足一项扣2分;其他参数，不满足一项扣1分；扣完为止。</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pPr>
              <w:spacing w:line="400" w:lineRule="exact"/>
              <w:jc w:val="center"/>
              <w:rPr>
                <w:rFonts w:ascii="宋体" w:hAnsi="宋体" w:eastAsia="宋体" w:cs="宋体"/>
                <w:b/>
                <w:bCs/>
                <w:color w:val="FF0000"/>
                <w:sz w:val="24"/>
                <w:szCs w:val="24"/>
              </w:rPr>
            </w:pPr>
            <w:r>
              <w:rPr>
                <w:rFonts w:hint="eastAsia" w:ascii="宋体" w:hAnsi="宋体" w:eastAsia="宋体" w:cs="宋体"/>
                <w:b/>
                <w:bCs/>
                <w:color w:val="auto"/>
                <w:sz w:val="24"/>
                <w:szCs w:val="24"/>
              </w:rPr>
              <w:t>业绩</w:t>
            </w:r>
          </w:p>
        </w:tc>
        <w:tc>
          <w:tcPr>
            <w:tcW w:w="339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 xml:space="preserve">投标人提供自  </w:t>
            </w:r>
            <w:r>
              <w:rPr>
                <w:rFonts w:hint="eastAsia" w:ascii="宋体" w:hAnsi="宋体" w:eastAsia="宋体" w:cs="宋体"/>
                <w:b/>
                <w:bCs/>
                <w:sz w:val="24"/>
                <w:szCs w:val="24"/>
                <w:lang w:val="en-US" w:eastAsia="zh-CN"/>
              </w:rPr>
              <w:t>2023</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日至今承揽过类似项目业绩的，每提供一个得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分，最高得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p>
            <w:pPr>
              <w:spacing w:line="400" w:lineRule="exact"/>
              <w:rPr>
                <w:rFonts w:ascii="宋体" w:hAnsi="宋体" w:eastAsia="宋体" w:cs="宋体"/>
                <w:b/>
                <w:bCs/>
                <w:sz w:val="24"/>
                <w:szCs w:val="24"/>
              </w:rPr>
            </w:pPr>
            <w:r>
              <w:rPr>
                <w:rFonts w:hint="eastAsia" w:ascii="宋体" w:hAnsi="宋体" w:eastAsia="宋体" w:cs="宋体"/>
                <w:b/>
                <w:bCs/>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演示</w:t>
            </w:r>
          </w:p>
        </w:tc>
        <w:tc>
          <w:tcPr>
            <w:tcW w:w="3394"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lang w:eastAsia="zh-CN"/>
              </w:rPr>
              <w:t>根据投标人现场演示所展示的系统操作方案，进行比对打分，方案展示完善、合理、可操作性强，得标准分，其余依次递减</w:t>
            </w:r>
            <w:r>
              <w:rPr>
                <w:rFonts w:hint="eastAsia" w:ascii="宋体" w:hAnsi="宋体" w:eastAsia="宋体" w:cs="宋体"/>
                <w:b/>
                <w:bCs/>
                <w:sz w:val="24"/>
                <w:szCs w:val="24"/>
                <w:lang w:val="en-US" w:eastAsia="zh-CN"/>
              </w:rPr>
              <w:t>2分，可并列得分。（可提供视频或远程会议演示、未演示不得分。）</w:t>
            </w:r>
          </w:p>
        </w:tc>
        <w:tc>
          <w:tcPr>
            <w:tcW w:w="401" w:type="pct"/>
            <w:tcBorders>
              <w:top w:val="single" w:color="auto" w:sz="4" w:space="0"/>
              <w:left w:val="single" w:color="auto" w:sz="4" w:space="0"/>
              <w:right w:val="single" w:color="auto" w:sz="4" w:space="0"/>
            </w:tcBorders>
            <w:vAlign w:val="center"/>
          </w:tcPr>
          <w:p>
            <w:pPr>
              <w:tabs>
                <w:tab w:val="center" w:pos="251"/>
                <w:tab w:val="left" w:pos="365"/>
              </w:tabs>
              <w:spacing w:line="400" w:lineRule="exact"/>
              <w:ind w:firstLine="241" w:firstLineChars="1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质保期</w:t>
            </w:r>
          </w:p>
        </w:tc>
        <w:tc>
          <w:tcPr>
            <w:tcW w:w="3394"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lang w:eastAsia="zh-CN"/>
              </w:rPr>
              <w:t>针对本项目硬件三年免费原厂质保基础之上，增加一年原厂质保服务得</w:t>
            </w:r>
            <w:r>
              <w:rPr>
                <w:rFonts w:hint="eastAsia" w:ascii="宋体" w:hAnsi="宋体" w:eastAsia="宋体" w:cs="宋体"/>
                <w:b/>
                <w:bCs/>
                <w:sz w:val="24"/>
                <w:szCs w:val="24"/>
                <w:lang w:val="en-US" w:eastAsia="zh-CN"/>
              </w:rPr>
              <w:t>2.5</w:t>
            </w:r>
            <w:r>
              <w:rPr>
                <w:rFonts w:hint="eastAsia" w:ascii="宋体" w:hAnsi="宋体" w:eastAsia="宋体" w:cs="宋体"/>
                <w:b/>
                <w:bCs/>
                <w:sz w:val="24"/>
                <w:szCs w:val="24"/>
                <w:lang w:eastAsia="zh-CN"/>
              </w:rPr>
              <w:t>分，本项最多</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分，以厂商原厂质保服务承诺函为准。</w:t>
            </w:r>
          </w:p>
        </w:tc>
        <w:tc>
          <w:tcPr>
            <w:tcW w:w="401"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812" w:type="pct"/>
            <w:tcBorders>
              <w:left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项目实施方案</w:t>
            </w:r>
          </w:p>
        </w:tc>
        <w:tc>
          <w:tcPr>
            <w:tcW w:w="3394" w:type="pct"/>
            <w:tcBorders>
              <w:left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lang w:eastAsia="zh-CN"/>
              </w:rPr>
              <w:t>根据投标单位针对本项目硬件软件实施方案进行综合打分。按照方案的优劣进行排序，最优得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分，</w:t>
            </w:r>
            <w:r>
              <w:rPr>
                <w:rFonts w:hint="eastAsia" w:ascii="宋体" w:hAnsi="宋体" w:eastAsia="宋体" w:cs="宋体"/>
                <w:b/>
                <w:bCs/>
                <w:sz w:val="24"/>
                <w:szCs w:val="24"/>
                <w:lang w:val="en-US" w:eastAsia="zh-CN"/>
              </w:rPr>
              <w:t>一般得3分，</w:t>
            </w:r>
            <w:r>
              <w:rPr>
                <w:rFonts w:hint="eastAsia" w:ascii="宋体" w:hAnsi="宋体" w:eastAsia="宋体" w:cs="宋体"/>
                <w:b/>
                <w:bCs/>
                <w:sz w:val="24"/>
                <w:szCs w:val="24"/>
                <w:lang w:eastAsia="zh-CN"/>
              </w:rPr>
              <w:t>差或未提供方案不得分。</w:t>
            </w:r>
          </w:p>
        </w:tc>
        <w:tc>
          <w:tcPr>
            <w:tcW w:w="401" w:type="pct"/>
            <w:tcBorders>
              <w:left w:val="single" w:color="auto" w:sz="4" w:space="0"/>
              <w:right w:val="single" w:color="auto" w:sz="4"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tc>
        <w:tc>
          <w:tcPr>
            <w:tcW w:w="812" w:type="pct"/>
            <w:tcBorders>
              <w:left w:val="single" w:color="auto" w:sz="4" w:space="0"/>
              <w:right w:val="single" w:color="auto" w:sz="4" w:space="0"/>
            </w:tcBorders>
            <w:vAlign w:val="center"/>
          </w:tcPr>
          <w:p>
            <w:pPr>
              <w:spacing w:line="400" w:lineRule="exact"/>
              <w:jc w:val="center"/>
              <w:rPr>
                <w:rFonts w:hint="default" w:ascii="仿宋" w:hAnsi="仿宋" w:eastAsia="仿宋" w:cs="仿宋"/>
                <w:sz w:val="28"/>
                <w:szCs w:val="28"/>
                <w:lang w:val="en-US" w:eastAsia="zh-CN"/>
              </w:rPr>
            </w:pPr>
            <w:r>
              <w:rPr>
                <w:rFonts w:hint="eastAsia" w:ascii="宋体" w:hAnsi="宋体" w:eastAsia="宋体" w:cs="宋体"/>
                <w:b/>
                <w:bCs/>
                <w:sz w:val="24"/>
                <w:szCs w:val="24"/>
                <w:lang w:val="en-US" w:eastAsia="zh-CN"/>
              </w:rPr>
              <w:t>合计</w:t>
            </w:r>
          </w:p>
        </w:tc>
        <w:tc>
          <w:tcPr>
            <w:tcW w:w="3394" w:type="pc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8"/>
                <w:szCs w:val="28"/>
                <w:lang w:eastAsia="zh-CN"/>
              </w:rPr>
            </w:pPr>
          </w:p>
        </w:tc>
        <w:tc>
          <w:tcPr>
            <w:tcW w:w="401" w:type="pct"/>
            <w:tcBorders>
              <w:left w:val="single" w:color="auto" w:sz="4" w:space="0"/>
              <w:right w:val="single" w:color="auto" w:sz="4" w:space="0"/>
            </w:tcBorders>
            <w:vAlign w:val="center"/>
          </w:tcPr>
          <w:p>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100</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3"/>
        <w:ind w:firstLine="482" w:firstLineChars="200"/>
        <w:rPr>
          <w:rFonts w:ascii="宋体" w:hAnsi="宋体" w:eastAsia="宋体" w:cs="宋体"/>
          <w:b/>
          <w:bCs/>
          <w:sz w:val="36"/>
          <w:szCs w:val="36"/>
        </w:rPr>
      </w:pPr>
      <w:r>
        <w:rPr>
          <w:rFonts w:hint="eastAsia" w:ascii="宋体" w:hAnsi="宋体" w:cs="宋体"/>
          <w:b/>
          <w:bCs/>
        </w:rPr>
        <w:t xml:space="preserve">                    </w:t>
      </w:r>
      <w:r>
        <w:rPr>
          <w:rFonts w:hint="eastAsia" w:ascii="宋体" w:hAnsi="宋体" w:cs="宋体"/>
        </w:rPr>
        <w:t xml:space="preserve">    </w:t>
      </w:r>
    </w:p>
    <w:p>
      <w:pPr>
        <w:pStyle w:val="2"/>
        <w:numPr>
          <w:ilvl w:val="0"/>
          <w:numId w:val="4"/>
        </w:numPr>
        <w:rPr>
          <w:rFonts w:ascii="宋体" w:hAnsi="宋体" w:eastAsia="宋体" w:cs="宋体"/>
          <w:b/>
          <w:bCs/>
          <w:sz w:val="32"/>
          <w:szCs w:val="32"/>
        </w:rPr>
      </w:pPr>
      <w:bookmarkStart w:id="58" w:name="_Toc13969"/>
      <w:r>
        <w:rPr>
          <w:rFonts w:hint="eastAsia" w:ascii="宋体" w:hAnsi="宋体" w:eastAsia="宋体" w:cs="宋体"/>
          <w:b/>
          <w:bCs/>
          <w:sz w:val="32"/>
          <w:szCs w:val="32"/>
        </w:rPr>
        <w:t xml:space="preserve"> </w:t>
      </w:r>
      <w:bookmarkStart w:id="59" w:name="_Toc26691"/>
      <w:bookmarkStart w:id="60" w:name="_Toc32204"/>
      <w:r>
        <w:rPr>
          <w:rFonts w:hint="eastAsia" w:ascii="宋体" w:hAnsi="宋体" w:eastAsia="宋体" w:cs="宋体"/>
          <w:b/>
          <w:bCs/>
          <w:sz w:val="32"/>
          <w:szCs w:val="32"/>
        </w:rPr>
        <w:t>拟签订的合同文本</w:t>
      </w:r>
      <w:bookmarkEnd w:id="58"/>
      <w:bookmarkEnd w:id="59"/>
      <w:bookmarkEnd w:id="60"/>
    </w:p>
    <w:p>
      <w:pPr>
        <w:widowControl w:val="0"/>
        <w:adjustRightInd/>
        <w:spacing w:line="400" w:lineRule="exact"/>
        <w:jc w:val="center"/>
        <w:rPr>
          <w:rFonts w:ascii="宋体" w:hAnsi="宋体" w:eastAsia="宋体" w:cs="宋体"/>
          <w:b/>
          <w:sz w:val="24"/>
          <w:szCs w:val="24"/>
        </w:rPr>
      </w:pPr>
      <w:bookmarkStart w:id="61" w:name="_Toc14881"/>
      <w:bookmarkStart w:id="62" w:name="_Toc8661"/>
      <w:r>
        <w:rPr>
          <w:rFonts w:hint="eastAsia" w:ascii="宋体" w:hAnsi="宋体" w:eastAsia="宋体" w:cs="宋体"/>
          <w:b/>
          <w:sz w:val="24"/>
          <w:szCs w:val="24"/>
        </w:rPr>
        <w:t>南京医科大学技术服务合同</w:t>
      </w:r>
    </w:p>
    <w:p>
      <w:pPr>
        <w:pStyle w:val="14"/>
        <w:spacing w:before="120" w:after="120" w:line="40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4"/>
        <w:spacing w:before="120" w:after="120" w:line="400" w:lineRule="exact"/>
        <w:ind w:left="550" w:leftChars="250"/>
        <w:rPr>
          <w:rFonts w:hAnsi="宋体" w:eastAsia="宋体" w:cs="宋体"/>
          <w:sz w:val="24"/>
          <w:szCs w:val="24"/>
        </w:rPr>
      </w:pPr>
      <w:r>
        <w:rPr>
          <w:rFonts w:hint="eastAsia" w:hAnsi="宋体" w:eastAsia="宋体" w:cs="宋体"/>
          <w:sz w:val="24"/>
          <w:szCs w:val="24"/>
        </w:rPr>
        <w:t>地址：</w:t>
      </w:r>
    </w:p>
    <w:p>
      <w:pPr>
        <w:pStyle w:val="14"/>
        <w:spacing w:before="120" w:after="120" w:line="400" w:lineRule="exact"/>
        <w:ind w:left="550" w:leftChars="25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受托方（乙方）：</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地址：</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Ansi="宋体" w:eastAsia="宋体" w:cs="宋体"/>
          <w:sz w:val="24"/>
          <w:szCs w:val="24"/>
          <w:u w:val="single"/>
        </w:rPr>
        <w:t xml:space="preserve">                   </w:t>
      </w:r>
      <w:r>
        <w:rPr>
          <w:rFonts w:hint="eastAsia" w:hAnsi="宋体" w:eastAsia="宋体" w:cs="宋体"/>
          <w:sz w:val="24"/>
          <w:szCs w:val="24"/>
        </w:rPr>
        <w:t>项目提供</w:t>
      </w:r>
      <w:r>
        <w:rPr>
          <w:rFonts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第一条</w:t>
      </w:r>
      <w:r>
        <w:rPr>
          <w:rFonts w:hAnsi="宋体" w:eastAsia="宋体" w:cs="宋体"/>
          <w:sz w:val="24"/>
          <w:szCs w:val="24"/>
        </w:rPr>
        <w:t xml:space="preserve"> 甲方委托乙方进行技术服务的内容如下：</w:t>
      </w:r>
    </w:p>
    <w:p>
      <w:pPr>
        <w:pStyle w:val="14"/>
        <w:spacing w:before="120" w:after="120" w:line="400" w:lineRule="exact"/>
        <w:ind w:left="550" w:leftChars="2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．技术服务的目标：</w:t>
      </w:r>
      <w:r>
        <w:rPr>
          <w:rFonts w:hAnsi="宋体" w:eastAsia="宋体" w:cs="宋体"/>
          <w:sz w:val="24"/>
          <w:szCs w:val="24"/>
        </w:rPr>
        <w:t xml:space="preserve">                                                                                                           2</w:t>
      </w:r>
      <w:r>
        <w:rPr>
          <w:rFonts w:hint="eastAsia" w:hAnsi="宋体" w:eastAsia="宋体" w:cs="宋体"/>
          <w:sz w:val="24"/>
          <w:szCs w:val="24"/>
        </w:rPr>
        <w:t>．技术服务的内容：</w:t>
      </w:r>
      <w:r>
        <w:rPr>
          <w:rFonts w:hAnsi="宋体" w:eastAsia="宋体" w:cs="宋体"/>
          <w:sz w:val="24"/>
          <w:szCs w:val="24"/>
        </w:rPr>
        <w:t xml:space="preserve">                                                        3</w:t>
      </w:r>
      <w:r>
        <w:rPr>
          <w:rFonts w:hint="eastAsia" w:hAnsi="宋体" w:eastAsia="宋体" w:cs="宋体"/>
          <w:sz w:val="24"/>
          <w:szCs w:val="24"/>
        </w:rPr>
        <w:t>．技术服务的方式：</w:t>
      </w:r>
      <w:r>
        <w:rPr>
          <w:rFonts w:hAnsi="宋体" w:eastAsia="宋体" w:cs="宋体"/>
          <w:sz w:val="24"/>
          <w:szCs w:val="24"/>
        </w:rPr>
        <w:t xml:space="preserve">                                  </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第二条</w:t>
      </w:r>
      <w:r>
        <w:rPr>
          <w:rFonts w:hAnsi="宋体" w:eastAsia="宋体" w:cs="宋体"/>
          <w:sz w:val="24"/>
          <w:szCs w:val="24"/>
        </w:rPr>
        <w:t xml:space="preserve"> 乙方应按下列要求完成技术服务工作：</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．技术服务地点：</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．技术服务期限：</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．技术服务进度：</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．技术服务质量要求：</w:t>
      </w:r>
    </w:p>
    <w:p>
      <w:pPr>
        <w:pStyle w:val="14"/>
        <w:spacing w:before="120" w:after="120" w:line="400" w:lineRule="exact"/>
        <w:ind w:firstLine="480" w:firstLineChars="200"/>
        <w:rPr>
          <w:rFonts w:hint="eastAsia" w:hAnsi="宋体" w:eastAsia="宋体" w:cs="宋体"/>
          <w:sz w:val="24"/>
          <w:szCs w:val="24"/>
        </w:rPr>
      </w:pPr>
      <w:r>
        <w:rPr>
          <w:rFonts w:hAnsi="宋体" w:eastAsia="宋体" w:cs="宋体"/>
          <w:sz w:val="24"/>
          <w:szCs w:val="24"/>
        </w:rPr>
        <w:t>5</w:t>
      </w:r>
      <w:r>
        <w:rPr>
          <w:rFonts w:hint="eastAsia" w:hAnsi="宋体" w:eastAsia="宋体" w:cs="宋体"/>
          <w:sz w:val="24"/>
          <w:szCs w:val="24"/>
        </w:rPr>
        <w:t>．技术服务质量期限要求：</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6. 后续服务要求：如后续开发过程中甲方及第三方需要乙方协助，乙方应当无条件配合，包括但不仅限于提供系统接口、技术服务、数据对接。</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第三条</w:t>
      </w:r>
      <w:r>
        <w:rPr>
          <w:rFonts w:hAnsi="宋体" w:eastAsia="宋体" w:cs="宋体"/>
          <w:sz w:val="24"/>
          <w:szCs w:val="24"/>
        </w:rPr>
        <w:t xml:space="preserve"> 为保证乙方有效进行技术服务工作，甲方应当向乙方提供下列工作条件和协作事项：</w:t>
      </w:r>
    </w:p>
    <w:p>
      <w:pPr>
        <w:pStyle w:val="14"/>
        <w:spacing w:before="120" w:after="120" w:line="400" w:lineRule="exact"/>
        <w:ind w:left="440" w:leftChars="200" w:firstLine="120" w:firstLineChars="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．提供技术资料：（</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  </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3</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4"/>
        <w:spacing w:before="120" w:after="120" w:line="400" w:lineRule="exact"/>
        <w:ind w:left="440" w:leftChars="200"/>
        <w:jc w:val="left"/>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．提供工作条件：</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sz w:val="24"/>
          <w:szCs w:val="24"/>
        </w:rPr>
        <w:t xml:space="preserve">      （</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4"/>
        <w:spacing w:before="120" w:after="120" w:line="400" w:lineRule="exact"/>
        <w:ind w:left="550" w:leftChars="250"/>
        <w:jc w:val="left"/>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．其他：</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w:t>
      </w:r>
      <w:r>
        <w:rPr>
          <w:rFonts w:hAnsi="宋体" w:eastAsia="宋体" w:cs="宋体"/>
          <w:sz w:val="24"/>
          <w:szCs w:val="24"/>
        </w:rPr>
        <w:t>技术服务</w:t>
      </w:r>
      <w:r>
        <w:rPr>
          <w:rFonts w:hint="eastAsia" w:hAnsi="宋体" w:eastAsia="宋体" w:cs="宋体"/>
          <w:sz w:val="24"/>
          <w:szCs w:val="24"/>
        </w:rPr>
        <w:t>费</w:t>
      </w:r>
      <w:r>
        <w:rPr>
          <w:rFonts w:hAnsi="宋体" w:eastAsia="宋体" w:cs="宋体"/>
          <w:sz w:val="24"/>
          <w:szCs w:val="24"/>
        </w:rPr>
        <w:t>及支付方式</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．技术服务费总额为：</w:t>
      </w:r>
      <w:r>
        <w:rPr>
          <w:rFonts w:hAnsi="宋体" w:eastAsia="宋体" w:cs="宋体"/>
          <w:sz w:val="24"/>
          <w:szCs w:val="24"/>
          <w:u w:val="single"/>
        </w:rPr>
        <w:t xml:space="preserve">                                 </w:t>
      </w:r>
      <w:r>
        <w:rPr>
          <w:rFonts w:hint="eastAsia" w:hAnsi="宋体" w:eastAsia="宋体" w:cs="宋体"/>
          <w:sz w:val="24"/>
          <w:szCs w:val="24"/>
        </w:rPr>
        <w:t>；</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．技术服务费由甲方</w:t>
      </w:r>
      <w:r>
        <w:rPr>
          <w:rFonts w:hAnsi="宋体" w:eastAsia="宋体" w:cs="宋体"/>
          <w:sz w:val="24"/>
          <w:szCs w:val="24"/>
          <w:u w:val="single"/>
        </w:rPr>
        <w:t xml:space="preserve">             （一次或分期）</w:t>
      </w:r>
      <w:r>
        <w:rPr>
          <w:rFonts w:hint="eastAsia" w:hAnsi="宋体" w:eastAsia="宋体" w:cs="宋体"/>
          <w:sz w:val="24"/>
          <w:szCs w:val="24"/>
        </w:rPr>
        <w:t>支付给乙方。</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具体支付方式和时间如下：</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3、结算方式：</w:t>
      </w:r>
    </w:p>
    <w:p>
      <w:pPr>
        <w:pStyle w:val="14"/>
        <w:numPr>
          <w:ilvl w:val="0"/>
          <w:numId w:val="0"/>
        </w:numPr>
        <w:snapToGrid w:val="0"/>
        <w:spacing w:before="120" w:after="120" w:line="400" w:lineRule="exact"/>
        <w:ind w:firstLine="480" w:firstLineChars="200"/>
        <w:jc w:val="left"/>
        <w:rPr>
          <w:rFonts w:hint="eastAsia" w:hAnsi="宋体" w:eastAsia="宋体" w:cs="宋体"/>
          <w:sz w:val="24"/>
          <w:szCs w:val="24"/>
        </w:rPr>
      </w:pPr>
      <w:r>
        <w:rPr>
          <w:rFonts w:hint="eastAsia" w:hAnsi="宋体" w:eastAsia="宋体" w:cs="宋体"/>
          <w:sz w:val="24"/>
          <w:szCs w:val="24"/>
        </w:rPr>
        <w:t>服务交付且安装、调试后，并通过验收后合格一周内甲方支付合同总金额的100%，付款之前需收到乙方开具的合法有效的相应全额发票。</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开户银行：</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账户名称：</w:t>
      </w:r>
      <w:r>
        <w:rPr>
          <w:rFonts w:hAnsi="宋体" w:eastAsia="宋体" w:cs="宋体"/>
          <w:sz w:val="24"/>
          <w:szCs w:val="24"/>
        </w:rPr>
        <w:t xml:space="preserve">                                      </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帐号：</w:t>
      </w:r>
      <w:r>
        <w:rPr>
          <w:rFonts w:hAnsi="宋体" w:eastAsia="宋体" w:cs="宋体"/>
          <w:sz w:val="24"/>
          <w:szCs w:val="24"/>
        </w:rPr>
        <w:t xml:space="preserve">                                            </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第五条</w:t>
      </w:r>
      <w:r>
        <w:rPr>
          <w:rFonts w:hAnsi="宋体" w:eastAsia="宋体" w:cs="宋体"/>
          <w:sz w:val="24"/>
          <w:szCs w:val="24"/>
        </w:rPr>
        <w:t xml:space="preserve"> 双方确定因履行本合同应遵守的保密义务如下：</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w:t>
      </w:r>
      <w:r>
        <w:rPr>
          <w:rFonts w:hint="eastAsia" w:hAnsi="宋体" w:eastAsia="宋体" w:cs="宋体"/>
          <w:sz w:val="24"/>
          <w:szCs w:val="24"/>
        </w:rPr>
        <w:t>甲方：</w:t>
      </w:r>
    </w:p>
    <w:p>
      <w:pPr>
        <w:pStyle w:val="14"/>
        <w:spacing w:before="120" w:after="120" w:line="400" w:lineRule="exact"/>
        <w:ind w:left="550" w:leftChars="250"/>
        <w:jc w:val="left"/>
        <w:rPr>
          <w:rFonts w:hAnsi="宋体" w:eastAsia="宋体" w:cs="宋体"/>
          <w:sz w:val="24"/>
          <w:szCs w:val="24"/>
        </w:rPr>
      </w:pPr>
      <w:r>
        <w:rPr>
          <w:rFonts w:hAnsi="宋体" w:eastAsia="宋体" w:cs="宋体"/>
          <w:sz w:val="24"/>
          <w:szCs w:val="24"/>
        </w:rPr>
        <w:t>5.1.1.</w:t>
      </w:r>
      <w:r>
        <w:rPr>
          <w:rFonts w:hint="eastAsia" w:hAnsi="宋体" w:eastAsia="宋体" w:cs="宋体"/>
          <w:sz w:val="24"/>
          <w:szCs w:val="24"/>
        </w:rPr>
        <w:t>保密内容（包括技术信息和经营信息）</w:t>
      </w:r>
      <w:r>
        <w:rPr>
          <w:rFonts w:hAnsi="宋体" w:eastAsia="宋体" w:cs="宋体"/>
          <w:sz w:val="24"/>
          <w:szCs w:val="24"/>
        </w:rPr>
        <w:t>:                              5.1.2.</w:t>
      </w:r>
      <w:r>
        <w:rPr>
          <w:rFonts w:hint="eastAsia" w:hAnsi="宋体" w:eastAsia="宋体" w:cs="宋体"/>
          <w:sz w:val="24"/>
          <w:szCs w:val="24"/>
        </w:rPr>
        <w:t>涉密人员范围</w:t>
      </w:r>
      <w:r>
        <w:rPr>
          <w:rFonts w:hAnsi="宋体" w:eastAsia="宋体" w:cs="宋体"/>
          <w:sz w:val="24"/>
          <w:szCs w:val="24"/>
        </w:rPr>
        <w:t xml:space="preserve">: </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5.1.3.</w:t>
      </w:r>
      <w:r>
        <w:rPr>
          <w:rFonts w:hint="eastAsia" w:hAnsi="宋体" w:eastAsia="宋体" w:cs="宋体"/>
          <w:sz w:val="24"/>
          <w:szCs w:val="24"/>
        </w:rPr>
        <w:t>保密期限：</w:t>
      </w:r>
      <w:r>
        <w:rPr>
          <w:rFonts w:hAnsi="宋体" w:eastAsia="宋体" w:cs="宋体"/>
          <w:sz w:val="24"/>
          <w:szCs w:val="24"/>
        </w:rPr>
        <w:t xml:space="preserve">                               </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5.1.4.</w:t>
      </w:r>
      <w:r>
        <w:rPr>
          <w:rFonts w:hint="eastAsia" w:hAnsi="宋体" w:eastAsia="宋体" w:cs="宋体"/>
          <w:sz w:val="24"/>
          <w:szCs w:val="24"/>
        </w:rPr>
        <w:t>泄密责任：</w:t>
      </w:r>
      <w:r>
        <w:rPr>
          <w:rFonts w:hAnsi="宋体" w:eastAsia="宋体" w:cs="宋体"/>
          <w:sz w:val="24"/>
          <w:szCs w:val="24"/>
        </w:rPr>
        <w:t xml:space="preserve">  </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w:t>
      </w:r>
      <w:r>
        <w:rPr>
          <w:rFonts w:hint="eastAsia" w:hAnsi="宋体" w:eastAsia="宋体" w:cs="宋体"/>
          <w:sz w:val="24"/>
          <w:szCs w:val="24"/>
        </w:rPr>
        <w:t>乙方：</w:t>
      </w:r>
    </w:p>
    <w:p>
      <w:pPr>
        <w:pStyle w:val="14"/>
        <w:spacing w:before="120" w:after="120" w:line="400" w:lineRule="exact"/>
        <w:ind w:left="550" w:leftChars="250"/>
        <w:jc w:val="left"/>
        <w:rPr>
          <w:rFonts w:hAnsi="宋体" w:eastAsia="宋体" w:cs="宋体"/>
          <w:sz w:val="24"/>
          <w:szCs w:val="24"/>
        </w:rPr>
      </w:pPr>
      <w:r>
        <w:rPr>
          <w:rFonts w:hAnsi="宋体" w:eastAsia="宋体" w:cs="宋体"/>
          <w:sz w:val="24"/>
          <w:szCs w:val="24"/>
        </w:rPr>
        <w:t>5.2.1.</w:t>
      </w:r>
      <w:r>
        <w:rPr>
          <w:rFonts w:hint="eastAsia" w:hAnsi="宋体" w:eastAsia="宋体" w:cs="宋体"/>
          <w:sz w:val="24"/>
          <w:szCs w:val="24"/>
        </w:rPr>
        <w:t>保密内容（包括技术信息和经营信息）</w:t>
      </w:r>
      <w:r>
        <w:rPr>
          <w:rFonts w:hAnsi="宋体" w:eastAsia="宋体" w:cs="宋体"/>
          <w:sz w:val="24"/>
          <w:szCs w:val="24"/>
        </w:rPr>
        <w:t>:                              5.2.2.</w:t>
      </w:r>
      <w:r>
        <w:rPr>
          <w:rFonts w:hint="eastAsia" w:hAnsi="宋体" w:eastAsia="宋体" w:cs="宋体"/>
          <w:sz w:val="24"/>
          <w:szCs w:val="24"/>
        </w:rPr>
        <w:t>涉密人员范围</w:t>
      </w:r>
      <w:r>
        <w:rPr>
          <w:rFonts w:hAnsi="宋体" w:eastAsia="宋体" w:cs="宋体"/>
          <w:sz w:val="24"/>
          <w:szCs w:val="24"/>
        </w:rPr>
        <w:t xml:space="preserve">: </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5.2.3.</w:t>
      </w:r>
      <w:r>
        <w:rPr>
          <w:rFonts w:hint="eastAsia" w:hAnsi="宋体" w:eastAsia="宋体" w:cs="宋体"/>
          <w:sz w:val="24"/>
          <w:szCs w:val="24"/>
        </w:rPr>
        <w:t>保密期限：</w:t>
      </w:r>
      <w:r>
        <w:rPr>
          <w:rFonts w:hAnsi="宋体" w:eastAsia="宋体" w:cs="宋体"/>
          <w:sz w:val="24"/>
          <w:szCs w:val="24"/>
        </w:rPr>
        <w:t xml:space="preserve">                               </w:t>
      </w:r>
    </w:p>
    <w:p>
      <w:pPr>
        <w:pStyle w:val="14"/>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5.2.4.</w:t>
      </w:r>
      <w:r>
        <w:rPr>
          <w:rFonts w:hint="eastAsia" w:hAnsi="宋体" w:eastAsia="宋体" w:cs="宋体"/>
          <w:sz w:val="24"/>
          <w:szCs w:val="24"/>
        </w:rPr>
        <w:t>泄密责任：</w:t>
      </w:r>
      <w:r>
        <w:rPr>
          <w:rFonts w:hAnsi="宋体" w:eastAsia="宋体" w:cs="宋体"/>
          <w:sz w:val="24"/>
          <w:szCs w:val="24"/>
        </w:rPr>
        <w:t xml:space="preserve"> </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第六条</w:t>
      </w:r>
      <w:r>
        <w:rPr>
          <w:rFonts w:hAnsi="宋体" w:eastAsia="宋体" w:cs="宋体"/>
          <w:sz w:val="24"/>
          <w:szCs w:val="24"/>
        </w:rPr>
        <w:t xml:space="preserve"> 本合同的变更必须由双方协商一致，并以书面形式确定。</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第七条</w:t>
      </w:r>
      <w:r>
        <w:rPr>
          <w:rFonts w:hAnsi="宋体" w:eastAsia="宋体" w:cs="宋体"/>
          <w:sz w:val="24"/>
          <w:szCs w:val="24"/>
        </w:rPr>
        <w:t xml:space="preserve"> 双方确定以下列标准和方式对乙方的技术服务工作成果进行验收：</w:t>
      </w:r>
    </w:p>
    <w:p>
      <w:pPr>
        <w:pStyle w:val="14"/>
        <w:spacing w:before="120" w:after="120" w:line="400" w:lineRule="exact"/>
        <w:ind w:firstLine="600" w:firstLineChars="25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．乙方完成技术服务工作的形式：</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2</w:t>
      </w:r>
      <w:r>
        <w:rPr>
          <w:rFonts w:hint="eastAsia" w:hAnsi="宋体" w:eastAsia="宋体" w:cs="宋体"/>
          <w:sz w:val="24"/>
          <w:szCs w:val="24"/>
        </w:rPr>
        <w:t>．技术服务工作成果的验收标准：</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3</w:t>
      </w:r>
      <w:r>
        <w:rPr>
          <w:rFonts w:hint="eastAsia" w:hAnsi="宋体" w:eastAsia="宋体" w:cs="宋体"/>
          <w:sz w:val="24"/>
          <w:szCs w:val="24"/>
        </w:rPr>
        <w:t>．技术服务工作成果的验收方法：</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4</w:t>
      </w:r>
      <w:r>
        <w:rPr>
          <w:rFonts w:hint="eastAsia" w:hAnsi="宋体" w:eastAsia="宋体" w:cs="宋体"/>
          <w:sz w:val="24"/>
          <w:szCs w:val="24"/>
        </w:rPr>
        <w:t>．验收的时间和地点：</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第八条</w:t>
      </w:r>
      <w:r>
        <w:rPr>
          <w:rFonts w:hAnsi="宋体" w:eastAsia="宋体" w:cs="宋体"/>
          <w:sz w:val="24"/>
          <w:szCs w:val="24"/>
        </w:rPr>
        <w:t xml:space="preserve"> 知识产权</w:t>
      </w:r>
      <w:r>
        <w:rPr>
          <w:rFonts w:hint="eastAsia" w:hAnsi="宋体" w:eastAsia="宋体" w:cs="宋体"/>
          <w:sz w:val="24"/>
          <w:szCs w:val="24"/>
        </w:rPr>
        <w:t>归属</w:t>
      </w:r>
      <w:r>
        <w:rPr>
          <w:rFonts w:hAnsi="宋体" w:eastAsia="宋体" w:cs="宋体"/>
          <w:sz w:val="24"/>
          <w:szCs w:val="24"/>
        </w:rPr>
        <w:t>：</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第九条</w:t>
      </w:r>
      <w:r>
        <w:rPr>
          <w:rFonts w:hAnsi="宋体" w:eastAsia="宋体" w:cs="宋体"/>
          <w:sz w:val="24"/>
          <w:szCs w:val="24"/>
        </w:rPr>
        <w:t xml:space="preserve"> 双方确定，按以下约定承担各自的违约责任：</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 甲方无故逾期</w:t>
      </w:r>
      <w:r>
        <w:rPr>
          <w:rFonts w:hint="eastAsia" w:hAnsi="宋体" w:eastAsia="宋体" w:cs="宋体"/>
          <w:sz w:val="24"/>
          <w:szCs w:val="24"/>
        </w:rPr>
        <w:t>支付服务费的</w:t>
      </w:r>
      <w:r>
        <w:rPr>
          <w:rFonts w:hAnsi="宋体" w:eastAsia="宋体" w:cs="宋体"/>
          <w:sz w:val="24"/>
          <w:szCs w:val="24"/>
        </w:rPr>
        <w:t>,甲方应按逾期付款总额每日</w:t>
      </w:r>
      <w:r>
        <w:rPr>
          <w:rFonts w:hint="eastAsia" w:hAnsi="宋体" w:eastAsia="宋体" w:cs="宋体"/>
          <w:sz w:val="24"/>
          <w:szCs w:val="24"/>
        </w:rPr>
        <w:t>万</w:t>
      </w:r>
      <w:r>
        <w:rPr>
          <w:rFonts w:hAnsi="宋体" w:eastAsia="宋体" w:cs="宋体"/>
          <w:sz w:val="24"/>
          <w:szCs w:val="24"/>
        </w:rPr>
        <w:t>分之五向乙方支付违约金。</w:t>
      </w:r>
      <w:r>
        <w:rPr>
          <w:rFonts w:hint="eastAsia" w:hAnsi="宋体" w:eastAsia="宋体" w:cs="宋体"/>
          <w:sz w:val="24"/>
          <w:szCs w:val="24"/>
        </w:rPr>
        <w:t>非因甲方原因未及时付款，包括但不仅限于乙方未验收合格、未开具合格的发票，甲方不承担违约责任。</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 乙方逾期交付</w:t>
      </w:r>
      <w:r>
        <w:rPr>
          <w:rFonts w:hint="eastAsia" w:hAnsi="宋体" w:eastAsia="宋体" w:cs="宋体"/>
          <w:sz w:val="24"/>
          <w:szCs w:val="24"/>
        </w:rPr>
        <w:t>服务成果</w:t>
      </w:r>
      <w:r>
        <w:rPr>
          <w:rFonts w:hAnsi="宋体" w:eastAsia="宋体" w:cs="宋体"/>
          <w:sz w:val="24"/>
          <w:szCs w:val="24"/>
        </w:rPr>
        <w:t>的，乙方应按</w:t>
      </w:r>
      <w:r>
        <w:rPr>
          <w:rFonts w:hint="eastAsia" w:hAnsi="宋体" w:eastAsia="宋体" w:cs="宋体"/>
          <w:sz w:val="24"/>
          <w:szCs w:val="24"/>
        </w:rPr>
        <w:t>本合同总金额的</w:t>
      </w:r>
      <w:r>
        <w:rPr>
          <w:rFonts w:hAnsi="宋体" w:eastAsia="宋体" w:cs="宋体"/>
          <w:sz w:val="24"/>
          <w:szCs w:val="24"/>
        </w:rPr>
        <w:t>每日</w:t>
      </w:r>
      <w:r>
        <w:rPr>
          <w:rFonts w:hint="eastAsia" w:hAnsi="宋体" w:eastAsia="宋体" w:cs="宋体"/>
          <w:sz w:val="24"/>
          <w:szCs w:val="24"/>
        </w:rPr>
        <w:t>万</w:t>
      </w:r>
      <w:r>
        <w:rPr>
          <w:rFonts w:hAnsi="宋体" w:eastAsia="宋体" w:cs="宋体"/>
          <w:sz w:val="24"/>
          <w:szCs w:val="24"/>
        </w:rPr>
        <w:t>分之</w:t>
      </w:r>
      <w:r>
        <w:rPr>
          <w:rFonts w:hint="eastAsia" w:hAnsi="宋体" w:eastAsia="宋体" w:cs="宋体"/>
          <w:sz w:val="24"/>
          <w:szCs w:val="24"/>
        </w:rPr>
        <w:t>五</w:t>
      </w:r>
      <w:r>
        <w:rPr>
          <w:rFonts w:hAnsi="宋体" w:eastAsia="宋体" w:cs="宋体"/>
          <w:sz w:val="24"/>
          <w:szCs w:val="24"/>
        </w:rPr>
        <w:t>向甲方支付违约金。逾期超过约定日期10个工作日</w:t>
      </w:r>
      <w:r>
        <w:rPr>
          <w:rFonts w:hint="eastAsia" w:hAnsi="宋体" w:eastAsia="宋体" w:cs="宋体"/>
          <w:sz w:val="24"/>
          <w:szCs w:val="24"/>
        </w:rPr>
        <w:t>仍</w:t>
      </w:r>
      <w:r>
        <w:rPr>
          <w:rFonts w:hAnsi="宋体" w:eastAsia="宋体" w:cs="宋体"/>
          <w:sz w:val="24"/>
          <w:szCs w:val="24"/>
        </w:rPr>
        <w:t>不能</w:t>
      </w:r>
      <w:r>
        <w:rPr>
          <w:rFonts w:hint="eastAsia" w:hAnsi="宋体" w:eastAsia="宋体" w:cs="宋体"/>
          <w:sz w:val="24"/>
          <w:szCs w:val="24"/>
        </w:rPr>
        <w:t>交付</w:t>
      </w:r>
      <w:r>
        <w:rPr>
          <w:rFonts w:hAnsi="宋体" w:eastAsia="宋体" w:cs="宋体"/>
          <w:sz w:val="24"/>
          <w:szCs w:val="24"/>
        </w:rPr>
        <w:t>的，甲方可解除本合同。乙方因逾期</w:t>
      </w:r>
      <w:r>
        <w:rPr>
          <w:rFonts w:hint="eastAsia" w:hAnsi="宋体" w:eastAsia="宋体" w:cs="宋体"/>
          <w:sz w:val="24"/>
          <w:szCs w:val="24"/>
        </w:rPr>
        <w:t>交付</w:t>
      </w:r>
      <w:r>
        <w:rPr>
          <w:rFonts w:hAnsi="宋体" w:eastAsia="宋体" w:cs="宋体"/>
          <w:sz w:val="24"/>
          <w:szCs w:val="24"/>
        </w:rPr>
        <w:t>或因其他违约行为导致甲方解除合同的，乙方应向甲方</w:t>
      </w:r>
      <w:r>
        <w:rPr>
          <w:rFonts w:hint="eastAsia" w:hAnsi="宋体" w:eastAsia="宋体" w:cs="宋体"/>
          <w:sz w:val="24"/>
          <w:szCs w:val="24"/>
        </w:rPr>
        <w:t>退还已收到的技术服务费，并向甲方</w:t>
      </w:r>
      <w:r>
        <w:rPr>
          <w:rFonts w:hAnsi="宋体" w:eastAsia="宋体" w:cs="宋体"/>
          <w:sz w:val="24"/>
          <w:szCs w:val="24"/>
        </w:rPr>
        <w:t>支付</w:t>
      </w:r>
      <w:r>
        <w:rPr>
          <w:rFonts w:hint="eastAsia" w:hAnsi="宋体" w:eastAsia="宋体" w:cs="宋体"/>
          <w:sz w:val="24"/>
          <w:szCs w:val="24"/>
        </w:rPr>
        <w:t>本</w:t>
      </w:r>
      <w:r>
        <w:rPr>
          <w:rFonts w:hAnsi="宋体" w:eastAsia="宋体" w:cs="宋体"/>
          <w:sz w:val="24"/>
          <w:szCs w:val="24"/>
        </w:rPr>
        <w:t>合同总</w:t>
      </w:r>
      <w:r>
        <w:rPr>
          <w:rFonts w:hint="eastAsia" w:hAnsi="宋体" w:eastAsia="宋体" w:cs="宋体"/>
          <w:sz w:val="24"/>
          <w:szCs w:val="24"/>
        </w:rPr>
        <w:t>金额</w:t>
      </w:r>
      <w:r>
        <w:rPr>
          <w:rFonts w:hAnsi="宋体" w:eastAsia="宋体" w:cs="宋体"/>
          <w:sz w:val="24"/>
          <w:szCs w:val="24"/>
        </w:rPr>
        <w:t xml:space="preserve">5%的违约金，如造成甲方损失超过违约金的，超出部分由乙方继续承担赔偿责任。 </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3. </w:t>
      </w:r>
      <w:r>
        <w:rPr>
          <w:rFonts w:hint="eastAsia" w:hAnsi="宋体" w:eastAsia="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4. </w:t>
      </w:r>
      <w:r>
        <w:rPr>
          <w:rFonts w:hint="eastAsia" w:hAnsi="宋体" w:eastAsia="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eastAsia="宋体" w:cs="宋体"/>
          <w:sz w:val="24"/>
          <w:szCs w:val="24"/>
        </w:rPr>
        <w:t>10%的违约金作为赔偿。</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5.本合同</w:t>
      </w:r>
      <w:r>
        <w:rPr>
          <w:rFonts w:hint="eastAsia" w:hAnsi="宋体" w:eastAsia="宋体" w:cs="宋体"/>
          <w:sz w:val="24"/>
          <w:szCs w:val="24"/>
        </w:rPr>
        <w:t>项下</w:t>
      </w:r>
      <w:r>
        <w:rPr>
          <w:rFonts w:hAnsi="宋体" w:eastAsia="宋体" w:cs="宋体"/>
          <w:sz w:val="24"/>
          <w:szCs w:val="24"/>
        </w:rPr>
        <w:t>所有</w:t>
      </w:r>
      <w:r>
        <w:rPr>
          <w:rFonts w:hint="eastAsia" w:hAnsi="宋体" w:eastAsia="宋体" w:cs="宋体"/>
          <w:sz w:val="24"/>
          <w:szCs w:val="24"/>
        </w:rPr>
        <w:t>技术服务</w:t>
      </w:r>
      <w:r>
        <w:rPr>
          <w:rFonts w:hAnsi="宋体" w:eastAsia="宋体" w:cs="宋体"/>
          <w:sz w:val="24"/>
          <w:szCs w:val="24"/>
        </w:rPr>
        <w:t>的内容，</w:t>
      </w:r>
      <w:r>
        <w:rPr>
          <w:rFonts w:hint="eastAsia" w:hAnsi="宋体" w:eastAsia="宋体" w:cs="宋体"/>
          <w:sz w:val="24"/>
          <w:szCs w:val="24"/>
        </w:rPr>
        <w:t>均由乙方单独承担，不得分包或者转包给其他单位或个人，否则，甲方有权单方解除合同，并要求乙方退还已收到的技术服务费，且乙方还应向甲方支付合同总额</w:t>
      </w:r>
      <w:r>
        <w:rPr>
          <w:rFonts w:hAnsi="宋体" w:eastAsia="宋体" w:cs="宋体"/>
          <w:sz w:val="24"/>
          <w:szCs w:val="24"/>
        </w:rPr>
        <w:t>10%的违约金作为赔偿。</w:t>
      </w:r>
    </w:p>
    <w:p>
      <w:pPr>
        <w:pStyle w:val="14"/>
        <w:spacing w:before="120" w:after="120" w:line="400" w:lineRule="exact"/>
        <w:ind w:firstLine="480" w:firstLineChars="200"/>
        <w:rPr>
          <w:rFonts w:hint="eastAsia" w:hAnsi="宋体" w:eastAsia="宋体" w:cs="宋体"/>
          <w:sz w:val="24"/>
          <w:szCs w:val="24"/>
        </w:rPr>
      </w:pPr>
      <w:r>
        <w:rPr>
          <w:rFonts w:hAnsi="宋体" w:eastAsia="宋体" w:cs="宋体"/>
          <w:sz w:val="24"/>
          <w:szCs w:val="24"/>
        </w:rPr>
        <w:t xml:space="preserve">6. </w:t>
      </w:r>
      <w:r>
        <w:rPr>
          <w:rFonts w:hint="eastAsia" w:hAnsi="宋体" w:eastAsia="宋体" w:cs="宋体"/>
          <w:sz w:val="24"/>
          <w:szCs w:val="24"/>
        </w:rPr>
        <w:t>乙方履行义务不符合合同约定，甲方有权扣减本合同总金额10%的技术服务费</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cs="宋体"/>
          <w:sz w:val="24"/>
          <w:szCs w:val="24"/>
        </w:rPr>
        <w:t>。</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7.乙方违反本合同第二条第6款及第八条约定的，一次性支付甲方违约金【】万元；如违约金不足以弥补甲方损失，乙方还应当赔偿给甲方造成的损失，包括但不仅限于预期利益、因维权产生的公证费、诉讼费、保全担保费、鉴定费、律师费、交通费用。</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第十条</w:t>
      </w:r>
      <w:r>
        <w:rPr>
          <w:rFonts w:hAnsi="宋体" w:eastAsia="宋体" w:cs="宋体"/>
          <w:sz w:val="24"/>
          <w:szCs w:val="24"/>
        </w:rPr>
        <w:t xml:space="preserve"> </w:t>
      </w:r>
      <w:r>
        <w:rPr>
          <w:rFonts w:hint="eastAsia" w:hAnsi="宋体" w:eastAsia="宋体" w:cs="宋体"/>
          <w:sz w:val="24"/>
          <w:szCs w:val="24"/>
        </w:rPr>
        <w:t>双方确定，在本合同有效期内，甲方指定</w:t>
      </w:r>
      <w:r>
        <w:rPr>
          <w:rFonts w:hAnsi="宋体" w:eastAsia="宋体" w:cs="宋体"/>
          <w:sz w:val="24"/>
          <w:szCs w:val="24"/>
          <w:u w:val="single"/>
        </w:rPr>
        <w:t xml:space="preserve">    </w:t>
      </w:r>
      <w:r>
        <w:rPr>
          <w:rFonts w:hint="eastAsia" w:hAnsi="宋体" w:eastAsia="宋体" w:cs="宋体"/>
          <w:sz w:val="24"/>
          <w:szCs w:val="24"/>
        </w:rPr>
        <w:t>为甲方项目联系人，乙方指定</w:t>
      </w:r>
      <w:r>
        <w:rPr>
          <w:rFonts w:hAnsi="宋体" w:eastAsia="宋体" w:cs="宋体"/>
          <w:sz w:val="24"/>
          <w:szCs w:val="24"/>
          <w:u w:val="single"/>
        </w:rPr>
        <w:t xml:space="preserve">      </w:t>
      </w:r>
      <w:r>
        <w:rPr>
          <w:rFonts w:hint="eastAsia" w:hAnsi="宋体" w:eastAsia="宋体" w:cs="宋体"/>
          <w:sz w:val="24"/>
          <w:szCs w:val="24"/>
        </w:rPr>
        <w:t>为乙方项目联系人。</w:t>
      </w:r>
    </w:p>
    <w:p>
      <w:pPr>
        <w:pStyle w:val="14"/>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w:t>
      </w:r>
      <w:r>
        <w:rPr>
          <w:rFonts w:hint="eastAsia" w:hAnsi="宋体" w:eastAsia="宋体" w:cs="宋体"/>
          <w:b/>
          <w:sz w:val="24"/>
          <w:szCs w:val="24"/>
        </w:rPr>
        <w:t>第十一条</w:t>
      </w:r>
      <w:r>
        <w:rPr>
          <w:rFonts w:hAnsi="宋体" w:eastAsia="宋体" w:cs="宋体"/>
          <w:b/>
          <w:sz w:val="24"/>
          <w:szCs w:val="24"/>
        </w:rPr>
        <w:t xml:space="preserve"> </w:t>
      </w:r>
      <w:r>
        <w:rPr>
          <w:rFonts w:hAnsi="宋体" w:eastAsia="宋体" w:cs="宋体"/>
          <w:sz w:val="24"/>
          <w:szCs w:val="24"/>
        </w:rPr>
        <w:t>不可抗力事件处理</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 在合同有效期内，任何一方因不可抗力事件导致不能履行合同，则合同履行期可延长，其延长期与不可抗力影响期相同。</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 不可抗力事件发生后</w:t>
      </w:r>
      <w:r>
        <w:rPr>
          <w:rFonts w:hint="eastAsia" w:hAnsi="宋体" w:eastAsia="宋体" w:cs="宋体"/>
          <w:sz w:val="24"/>
          <w:szCs w:val="24"/>
        </w:rPr>
        <w:t>，</w:t>
      </w:r>
      <w:r>
        <w:rPr>
          <w:rFonts w:hAnsi="宋体" w:eastAsia="宋体" w:cs="宋体"/>
          <w:sz w:val="24"/>
          <w:szCs w:val="24"/>
        </w:rPr>
        <w:t>应立即通知对方，并寄送有关权威机构出具的证明。</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3. 不可抗力事件延续30天以上，双方应通过友好协商，</w:t>
      </w:r>
      <w:r>
        <w:rPr>
          <w:rFonts w:hint="eastAsia" w:hAnsi="宋体" w:eastAsia="宋体" w:cs="宋体"/>
          <w:sz w:val="24"/>
          <w:szCs w:val="24"/>
        </w:rPr>
        <w:t>书面</w:t>
      </w:r>
      <w:r>
        <w:rPr>
          <w:rFonts w:hAnsi="宋体" w:eastAsia="宋体" w:cs="宋体"/>
          <w:sz w:val="24"/>
          <w:szCs w:val="24"/>
        </w:rPr>
        <w:t>确定是否继续履行合同。</w:t>
      </w:r>
    </w:p>
    <w:p>
      <w:pPr>
        <w:pStyle w:val="14"/>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第十二条</w:t>
      </w:r>
      <w:r>
        <w:rPr>
          <w:rFonts w:hAnsi="宋体" w:eastAsia="宋体" w:cs="宋体"/>
          <w:b/>
          <w:sz w:val="24"/>
          <w:szCs w:val="24"/>
        </w:rPr>
        <w:t xml:space="preserve"> </w:t>
      </w:r>
      <w:r>
        <w:rPr>
          <w:rFonts w:hAnsi="宋体" w:eastAsia="宋体" w:cs="宋体"/>
          <w:sz w:val="24"/>
          <w:szCs w:val="24"/>
        </w:rPr>
        <w:t>诉讼</w:t>
      </w:r>
      <w:r>
        <w:rPr>
          <w:rFonts w:hint="eastAsia" w:hAnsi="宋体" w:eastAsia="宋体" w:cs="宋体"/>
          <w:sz w:val="24"/>
          <w:szCs w:val="24"/>
        </w:rPr>
        <w:t>条款</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双方在执行合同中所发生的一切争议，应通过协商解决。如协商不成，向</w:t>
      </w:r>
      <w:r>
        <w:rPr>
          <w:rFonts w:hint="eastAsia" w:hAnsi="宋体" w:eastAsia="宋体" w:cs="宋体"/>
          <w:sz w:val="24"/>
          <w:szCs w:val="24"/>
        </w:rPr>
        <w:t>甲方所在地的人民法院提起诉讼。因诉讼或仲裁产生的相关费用及开支（包括但不限于公证费、诉讼费、保全担保费、鉴定费、律师费、交通费用）均由败诉方承担。</w:t>
      </w:r>
    </w:p>
    <w:p>
      <w:pPr>
        <w:pStyle w:val="14"/>
        <w:spacing w:before="120" w:after="120" w:line="400" w:lineRule="exact"/>
        <w:ind w:firstLine="482" w:firstLineChars="200"/>
        <w:rPr>
          <w:rFonts w:hAnsi="宋体" w:eastAsia="宋体" w:cs="宋体"/>
          <w:b/>
          <w:sz w:val="24"/>
          <w:szCs w:val="24"/>
        </w:rPr>
      </w:pPr>
      <w:r>
        <w:rPr>
          <w:rFonts w:hint="eastAsia" w:hAnsi="宋体" w:eastAsia="宋体" w:cs="宋体"/>
          <w:b/>
          <w:sz w:val="24"/>
          <w:szCs w:val="24"/>
        </w:rPr>
        <w:t>第十三条</w:t>
      </w:r>
      <w:r>
        <w:rPr>
          <w:rFonts w:hAnsi="宋体" w:eastAsia="宋体" w:cs="宋体"/>
          <w:b/>
          <w:sz w:val="24"/>
          <w:szCs w:val="24"/>
        </w:rPr>
        <w:t xml:space="preserve"> </w:t>
      </w:r>
      <w:r>
        <w:rPr>
          <w:rFonts w:hAnsi="宋体" w:eastAsia="宋体" w:cs="宋体"/>
          <w:sz w:val="24"/>
          <w:szCs w:val="24"/>
        </w:rPr>
        <w:t>合同生效及其它</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1.  招投标文件作为合同的附件，与本合同具有同等法律效力。合同经双方法定代表人或授权委托代</w:t>
      </w:r>
      <w:r>
        <w:rPr>
          <w:rFonts w:hint="eastAsia" w:hAnsi="宋体" w:eastAsia="宋体" w:cs="宋体"/>
          <w:sz w:val="24"/>
          <w:szCs w:val="24"/>
        </w:rPr>
        <w:t>表</w:t>
      </w:r>
      <w:r>
        <w:rPr>
          <w:rFonts w:hAnsi="宋体" w:eastAsia="宋体" w:cs="宋体"/>
          <w:sz w:val="24"/>
          <w:szCs w:val="24"/>
        </w:rPr>
        <w:t>人签字</w:t>
      </w:r>
      <w:r>
        <w:rPr>
          <w:rFonts w:hint="eastAsia" w:hAnsi="宋体" w:eastAsia="宋体" w:cs="宋体"/>
          <w:sz w:val="24"/>
          <w:szCs w:val="24"/>
        </w:rPr>
        <w:t>、盖章</w:t>
      </w:r>
      <w:r>
        <w:rPr>
          <w:rFonts w:hAnsi="宋体" w:eastAsia="宋体" w:cs="宋体"/>
          <w:sz w:val="24"/>
          <w:szCs w:val="24"/>
        </w:rPr>
        <w:t>后生效。</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2.本合同未尽事宜，遵照《中华人民共和国民法典》有关条文执行。</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3. 本合同正本一式</w:t>
      </w:r>
      <w:r>
        <w:rPr>
          <w:rFonts w:hint="eastAsia" w:hAnsi="宋体" w:eastAsia="宋体" w:cs="宋体"/>
          <w:sz w:val="24"/>
          <w:szCs w:val="24"/>
        </w:rPr>
        <w:t>肆</w:t>
      </w:r>
      <w:r>
        <w:rPr>
          <w:rFonts w:hAnsi="宋体" w:eastAsia="宋体" w:cs="宋体"/>
          <w:sz w:val="24"/>
          <w:szCs w:val="24"/>
        </w:rPr>
        <w:t>份，</w:t>
      </w:r>
      <w:r>
        <w:rPr>
          <w:rFonts w:hint="eastAsia" w:hAnsi="宋体" w:eastAsia="宋体" w:cs="宋体"/>
          <w:sz w:val="24"/>
          <w:szCs w:val="24"/>
        </w:rPr>
        <w:t>甲方叁份，乙方壹份，</w:t>
      </w:r>
      <w:r>
        <w:rPr>
          <w:rFonts w:hAnsi="宋体" w:eastAsia="宋体" w:cs="宋体"/>
          <w:sz w:val="24"/>
          <w:szCs w:val="24"/>
        </w:rPr>
        <w:t>具有同等法律效力。</w:t>
      </w:r>
    </w:p>
    <w:p>
      <w:pPr>
        <w:pStyle w:val="14"/>
        <w:spacing w:before="120" w:after="120" w:line="400" w:lineRule="exact"/>
        <w:ind w:firstLine="480" w:firstLineChars="200"/>
        <w:rPr>
          <w:rFonts w:hAnsi="宋体" w:eastAsia="宋体" w:cs="宋体"/>
          <w:sz w:val="24"/>
          <w:szCs w:val="24"/>
        </w:rPr>
      </w:pP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甲方： </w:t>
      </w:r>
      <w:r>
        <w:rPr>
          <w:rFonts w:hint="eastAsia" w:hAnsi="宋体" w:eastAsia="宋体" w:cs="宋体"/>
          <w:sz w:val="24"/>
          <w:szCs w:val="24"/>
        </w:rPr>
        <w:t>南京医科大学</w:t>
      </w:r>
      <w:r>
        <w:rPr>
          <w:rFonts w:hAnsi="宋体" w:eastAsia="宋体" w:cs="宋体"/>
          <w:sz w:val="24"/>
          <w:szCs w:val="24"/>
        </w:rPr>
        <w:t xml:space="preserve">             乙方： </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地址：                          地址： </w:t>
      </w:r>
    </w:p>
    <w:p>
      <w:pPr>
        <w:pStyle w:val="14"/>
        <w:spacing w:before="120" w:after="120" w:line="400" w:lineRule="exact"/>
        <w:ind w:firstLine="480" w:firstLineChars="200"/>
        <w:rPr>
          <w:rFonts w:hAnsi="宋体" w:eastAsia="宋体" w:cs="宋体"/>
          <w:sz w:val="24"/>
          <w:szCs w:val="24"/>
        </w:rPr>
      </w:pPr>
      <w:r>
        <w:rPr>
          <w:rFonts w:hAnsi="宋体" w:eastAsia="宋体" w:cs="宋体"/>
          <w:sz w:val="24"/>
          <w:szCs w:val="24"/>
        </w:rPr>
        <w:t>法定代表人</w:t>
      </w:r>
      <w:r>
        <w:rPr>
          <w:rFonts w:hint="eastAsia" w:hAnsi="宋体" w:eastAsia="宋体" w:cs="宋体"/>
          <w:sz w:val="24"/>
          <w:szCs w:val="24"/>
        </w:rPr>
        <w:t>或授权代表</w:t>
      </w:r>
      <w:r>
        <w:rPr>
          <w:rFonts w:hAnsi="宋体" w:eastAsia="宋体" w:cs="宋体"/>
          <w:sz w:val="24"/>
          <w:szCs w:val="24"/>
        </w:rPr>
        <w:t>：          法定代表人</w:t>
      </w:r>
      <w:r>
        <w:rPr>
          <w:rFonts w:hint="eastAsia" w:hAnsi="宋体" w:eastAsia="宋体" w:cs="宋体"/>
          <w:sz w:val="24"/>
          <w:szCs w:val="24"/>
        </w:rPr>
        <w:t>或授权代表</w:t>
      </w:r>
      <w:r>
        <w:rPr>
          <w:rFonts w:hAnsi="宋体" w:eastAsia="宋体" w:cs="宋体"/>
          <w:sz w:val="24"/>
          <w:szCs w:val="24"/>
        </w:rPr>
        <w:t>：</w:t>
      </w:r>
    </w:p>
    <w:p>
      <w:pPr>
        <w:widowControl w:val="0"/>
        <w:adjustRightInd/>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 xml:space="preserve">      </w:t>
      </w:r>
    </w:p>
    <w:p>
      <w:pPr>
        <w:pStyle w:val="2"/>
        <w:pageBreakBefore/>
        <w:spacing w:line="360" w:lineRule="auto"/>
        <w:rPr>
          <w:rFonts w:asciiTheme="majorEastAsia" w:hAnsiTheme="majorEastAsia" w:eastAsiaTheme="majorEastAsia" w:cstheme="minorBidi"/>
          <w:b/>
          <w:kern w:val="0"/>
          <w:sz w:val="36"/>
          <w:szCs w:val="36"/>
        </w:rPr>
      </w:pPr>
      <w:bookmarkStart w:id="63" w:name="_Toc19271"/>
      <w:r>
        <w:rPr>
          <w:rFonts w:hint="eastAsia" w:asciiTheme="majorEastAsia" w:hAnsiTheme="majorEastAsia" w:eastAsiaTheme="majorEastAsia" w:cstheme="minorBidi"/>
          <w:b/>
          <w:kern w:val="0"/>
          <w:sz w:val="32"/>
          <w:szCs w:val="32"/>
        </w:rPr>
        <w:t>第六章  投标文件格式</w:t>
      </w:r>
      <w:bookmarkEnd w:id="61"/>
      <w:bookmarkEnd w:id="62"/>
      <w:bookmarkEnd w:id="63"/>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64" w:name="_Hlt26955039"/>
      <w:bookmarkEnd w:id="64"/>
      <w:bookmarkStart w:id="65" w:name="_Hlt26671244"/>
      <w:bookmarkEnd w:id="65"/>
      <w:bookmarkStart w:id="66" w:name="_Toc120614282"/>
      <w:bookmarkStart w:id="67" w:name="_Toc26554094"/>
      <w:bookmarkStart w:id="68"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3"/>
        <w:ind w:firstLine="0"/>
        <w:jc w:val="center"/>
        <w:rPr>
          <w:rFonts w:ascii="宋体" w:hAnsi="宋体" w:cs="宋体"/>
          <w:b/>
          <w:bCs/>
          <w:sz w:val="36"/>
          <w:szCs w:val="36"/>
        </w:rPr>
      </w:pPr>
      <w:r>
        <w:rPr>
          <w:rFonts w:hint="eastAsia" w:ascii="宋体" w:hAnsi="宋体" w:cs="宋体"/>
          <w:b/>
          <w:bCs/>
          <w:sz w:val="36"/>
          <w:szCs w:val="36"/>
        </w:rPr>
        <w:t>目  录</w:t>
      </w: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center"/>
        <w:rPr>
          <w:rFonts w:ascii="宋体" w:hAnsi="宋体" w:cs="宋体"/>
          <w:b/>
          <w:bCs/>
          <w:sz w:val="36"/>
          <w:szCs w:val="36"/>
        </w:rPr>
      </w:pPr>
    </w:p>
    <w:p>
      <w:pPr>
        <w:pStyle w:val="33"/>
        <w:ind w:firstLine="0"/>
        <w:jc w:val="both"/>
        <w:rPr>
          <w:rFonts w:ascii="宋体" w:hAnsi="宋体" w:cs="宋体"/>
          <w:b/>
          <w:bCs/>
        </w:rPr>
      </w:pPr>
    </w:p>
    <w:p>
      <w:pPr>
        <w:pStyle w:val="33"/>
        <w:ind w:firstLine="0"/>
        <w:jc w:val="both"/>
        <w:rPr>
          <w:rFonts w:ascii="宋体" w:hAnsi="宋体" w:cs="宋体"/>
          <w:b/>
          <w:bCs/>
        </w:rPr>
      </w:pPr>
    </w:p>
    <w:p>
      <w:pPr>
        <w:pStyle w:val="33"/>
        <w:ind w:firstLine="0"/>
        <w:jc w:val="both"/>
        <w:rPr>
          <w:rFonts w:ascii="宋体" w:hAnsi="宋体" w:cs="宋体"/>
          <w:b/>
          <w:bCs/>
        </w:rPr>
      </w:pPr>
    </w:p>
    <w:p>
      <w:pPr>
        <w:pStyle w:val="33"/>
        <w:ind w:firstLine="0"/>
        <w:jc w:val="both"/>
        <w:rPr>
          <w:rFonts w:ascii="宋体" w:hAnsi="宋体" w:cs="宋体"/>
          <w:b/>
          <w:bCs/>
        </w:rPr>
      </w:pPr>
      <w:r>
        <w:rPr>
          <w:rFonts w:hint="eastAsia" w:ascii="宋体" w:hAnsi="宋体" w:cs="宋体"/>
          <w:b/>
          <w:bCs/>
        </w:rPr>
        <w:t>附件一</w:t>
      </w:r>
      <w:bookmarkStart w:id="69" w:name="_Toc517190894"/>
    </w:p>
    <w:p>
      <w:pPr>
        <w:pStyle w:val="33"/>
        <w:ind w:firstLine="0"/>
        <w:jc w:val="center"/>
        <w:rPr>
          <w:rFonts w:ascii="宋体" w:hAnsi="宋体" w:cs="宋体"/>
          <w:b/>
          <w:sz w:val="28"/>
          <w:szCs w:val="28"/>
        </w:rPr>
      </w:pPr>
      <w:r>
        <w:rPr>
          <w:rFonts w:hint="eastAsia" w:ascii="宋体" w:hAnsi="宋体" w:cs="宋体"/>
          <w:b/>
          <w:sz w:val="28"/>
          <w:szCs w:val="28"/>
        </w:rPr>
        <w:t>投标函</w:t>
      </w:r>
      <w:bookmarkEnd w:id="69"/>
    </w:p>
    <w:p>
      <w:pPr>
        <w:pStyle w:val="33"/>
        <w:spacing w:before="0" w:after="0"/>
        <w:ind w:firstLine="0"/>
        <w:rPr>
          <w:rFonts w:ascii="宋体" w:hAnsi="宋体" w:cs="宋体"/>
          <w:kern w:val="2"/>
        </w:rPr>
      </w:pPr>
      <w:r>
        <w:rPr>
          <w:rFonts w:hint="eastAsia" w:ascii="宋体" w:hAnsi="宋体" w:cs="宋体"/>
          <w:kern w:val="2"/>
        </w:rPr>
        <w:t>致：南京医科大学</w:t>
      </w:r>
    </w:p>
    <w:p>
      <w:pPr>
        <w:pStyle w:val="33"/>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3"/>
        <w:spacing w:before="0" w:after="0"/>
        <w:ind w:firstLineChars="200"/>
        <w:rPr>
          <w:rFonts w:ascii="宋体" w:hAnsi="宋体" w:cs="宋体"/>
          <w:kern w:val="2"/>
        </w:rPr>
      </w:pPr>
      <w:r>
        <w:rPr>
          <w:rFonts w:hint="eastAsia" w:ascii="宋体" w:hAnsi="宋体" w:cs="宋体"/>
          <w:kern w:val="2"/>
        </w:rPr>
        <w:t>据此函，我公司宣布同意如下：</w:t>
      </w:r>
    </w:p>
    <w:p>
      <w:pPr>
        <w:pStyle w:val="33"/>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3"/>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3"/>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3"/>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3"/>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3"/>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3"/>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3"/>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3"/>
        <w:spacing w:before="0" w:after="0"/>
        <w:ind w:left="440" w:leftChars="200" w:firstLineChars="200"/>
        <w:rPr>
          <w:rFonts w:ascii="宋体" w:hAnsi="宋体" w:cs="宋体"/>
          <w:kern w:val="2"/>
        </w:rPr>
      </w:pPr>
      <w:r>
        <w:rPr>
          <w:rFonts w:hint="eastAsia" w:ascii="宋体" w:hAnsi="宋体" w:cs="宋体"/>
          <w:kern w:val="2"/>
        </w:rPr>
        <w:t>地址：</w:t>
      </w:r>
    </w:p>
    <w:p>
      <w:pPr>
        <w:pStyle w:val="33"/>
        <w:spacing w:before="0" w:after="0"/>
        <w:ind w:left="440" w:leftChars="200" w:firstLineChars="200"/>
        <w:rPr>
          <w:rFonts w:ascii="宋体" w:hAnsi="宋体" w:cs="宋体"/>
          <w:kern w:val="2"/>
        </w:rPr>
      </w:pPr>
      <w:r>
        <w:rPr>
          <w:rFonts w:hint="eastAsia" w:ascii="宋体" w:hAnsi="宋体" w:cs="宋体"/>
          <w:kern w:val="2"/>
        </w:rPr>
        <w:t>邮编：                           电话：</w:t>
      </w:r>
    </w:p>
    <w:p>
      <w:pPr>
        <w:pStyle w:val="33"/>
        <w:spacing w:before="0" w:after="0"/>
        <w:ind w:left="440" w:leftChars="200" w:firstLine="482" w:firstLineChars="200"/>
        <w:rPr>
          <w:rFonts w:ascii="宋体" w:hAnsi="宋体" w:cs="宋体"/>
          <w:b/>
          <w:kern w:val="2"/>
          <w:u w:val="single"/>
        </w:rPr>
      </w:pPr>
    </w:p>
    <w:p>
      <w:pPr>
        <w:pStyle w:val="33"/>
        <w:spacing w:before="0" w:after="0"/>
        <w:ind w:left="440" w:leftChars="200" w:firstLine="482" w:firstLineChars="200"/>
        <w:rPr>
          <w:rFonts w:ascii="宋体" w:hAnsi="宋体" w:cs="宋体"/>
          <w:b/>
          <w:kern w:val="2"/>
          <w:u w:val="single"/>
        </w:rPr>
      </w:pPr>
    </w:p>
    <w:p>
      <w:pPr>
        <w:pStyle w:val="33"/>
        <w:spacing w:before="0" w:after="0"/>
        <w:rPr>
          <w:rFonts w:ascii="宋体" w:hAnsi="宋体" w:cs="宋体"/>
          <w:kern w:val="2"/>
        </w:rPr>
      </w:pPr>
      <w:r>
        <w:rPr>
          <w:rFonts w:hint="eastAsia" w:ascii="宋体" w:hAnsi="宋体" w:cs="宋体"/>
          <w:kern w:val="2"/>
        </w:rPr>
        <w:t xml:space="preserve">投标人授权代表（签字）：  </w:t>
      </w:r>
    </w:p>
    <w:p>
      <w:pPr>
        <w:pStyle w:val="33"/>
        <w:spacing w:before="0" w:after="0"/>
        <w:rPr>
          <w:rFonts w:ascii="宋体" w:hAnsi="宋体" w:cs="宋体"/>
          <w:kern w:val="2"/>
        </w:rPr>
      </w:pPr>
      <w:r>
        <w:rPr>
          <w:rFonts w:hint="eastAsia" w:ascii="宋体" w:hAnsi="宋体" w:cs="宋体"/>
          <w:kern w:val="2"/>
        </w:rPr>
        <w:t>法定代表人（签字）：</w:t>
      </w:r>
    </w:p>
    <w:p>
      <w:pPr>
        <w:pStyle w:val="33"/>
        <w:spacing w:before="0" w:after="0"/>
        <w:rPr>
          <w:rFonts w:ascii="宋体" w:hAnsi="宋体" w:cs="宋体"/>
          <w:kern w:val="2"/>
        </w:rPr>
      </w:pPr>
      <w:r>
        <w:rPr>
          <w:rFonts w:hint="eastAsia" w:ascii="宋体" w:hAnsi="宋体" w:cs="宋体"/>
          <w:kern w:val="2"/>
        </w:rPr>
        <w:t>投标人名称（公章）：</w:t>
      </w:r>
    </w:p>
    <w:p>
      <w:pPr>
        <w:pStyle w:val="33"/>
        <w:spacing w:before="0" w:after="0"/>
        <w:ind w:left="440" w:leftChars="200" w:firstLine="3000" w:firstLineChars="1250"/>
        <w:rPr>
          <w:rFonts w:ascii="宋体" w:hAnsi="宋体" w:cs="宋体"/>
          <w:kern w:val="2"/>
        </w:rPr>
      </w:pPr>
    </w:p>
    <w:p>
      <w:pPr>
        <w:pStyle w:val="33"/>
        <w:spacing w:before="0" w:after="0"/>
        <w:jc w:val="right"/>
        <w:rPr>
          <w:rFonts w:ascii="宋体" w:hAnsi="宋体" w:cs="宋体"/>
          <w:kern w:val="2"/>
        </w:rPr>
      </w:pPr>
      <w:r>
        <w:rPr>
          <w:rFonts w:hint="eastAsia" w:ascii="宋体" w:hAnsi="宋体" w:cs="宋体"/>
          <w:kern w:val="2"/>
        </w:rPr>
        <w:t>日期：    年  月  日</w:t>
      </w:r>
    </w:p>
    <w:p>
      <w:pPr>
        <w:pStyle w:val="33"/>
        <w:ind w:firstLine="0"/>
        <w:jc w:val="both"/>
        <w:rPr>
          <w:rFonts w:ascii="宋体" w:hAnsi="宋体" w:cs="宋体"/>
        </w:rPr>
      </w:pPr>
      <w:r>
        <w:rPr>
          <w:rFonts w:hint="eastAsia" w:ascii="宋体" w:hAnsi="宋体" w:cs="宋体"/>
          <w:b/>
          <w:bCs/>
        </w:rPr>
        <w:t>附件二</w:t>
      </w:r>
    </w:p>
    <w:p>
      <w:pPr>
        <w:pStyle w:val="33"/>
        <w:ind w:firstLine="0"/>
        <w:jc w:val="center"/>
        <w:rPr>
          <w:rFonts w:ascii="宋体" w:hAnsi="宋体" w:cs="宋体"/>
          <w:b/>
          <w:sz w:val="28"/>
          <w:szCs w:val="28"/>
        </w:rPr>
      </w:pPr>
      <w:bookmarkStart w:id="70" w:name="_Toc517190895"/>
      <w:r>
        <w:rPr>
          <w:rFonts w:hint="eastAsia" w:ascii="宋体" w:hAnsi="宋体" w:cs="宋体"/>
          <w:b/>
          <w:sz w:val="28"/>
          <w:szCs w:val="28"/>
        </w:rPr>
        <w:t>授权书</w:t>
      </w:r>
      <w:bookmarkEnd w:id="70"/>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spacing w:line="360" w:lineRule="auto"/>
        <w:rPr>
          <w:rFonts w:ascii="宋体" w:hAnsi="宋体" w:eastAsia="宋体" w:cs="宋体"/>
          <w:sz w:val="24"/>
          <w:szCs w:val="24"/>
        </w:rPr>
      </w:pPr>
      <w:bookmarkStart w:id="71" w:name="_格式3__银行出具的资信证明"/>
      <w:bookmarkEnd w:id="71"/>
      <w:bookmarkStart w:id="72" w:name="_Hlt26671380"/>
      <w:bookmarkEnd w:id="72"/>
      <w:bookmarkStart w:id="73" w:name="_Hlt26955070"/>
      <w:bookmarkEnd w:id="73"/>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74"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74"/>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3"/>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3"/>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66"/>
      <w:bookmarkEnd w:id="67"/>
      <w:bookmarkEnd w:id="68"/>
      <w:bookmarkStart w:id="75"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6"/>
        <w:spacing w:line="360" w:lineRule="auto"/>
        <w:rPr>
          <w:rFonts w:ascii="宋体" w:hAnsi="宋体" w:eastAsia="宋体" w:cs="宋体"/>
          <w:sz w:val="24"/>
          <w:szCs w:val="24"/>
        </w:rPr>
      </w:pPr>
    </w:p>
    <w:bookmarkEnd w:id="75"/>
    <w:p>
      <w:pPr>
        <w:pStyle w:val="33"/>
        <w:ind w:firstLine="0"/>
        <w:rPr>
          <w:rFonts w:ascii="宋体" w:hAnsi="宋体" w:cs="宋体"/>
        </w:rPr>
      </w:pPr>
    </w:p>
    <w:p>
      <w:pPr>
        <w:pStyle w:val="33"/>
        <w:ind w:firstLine="0"/>
        <w:rPr>
          <w:rFonts w:ascii="宋体" w:hAnsi="宋体" w:cs="宋体"/>
        </w:rPr>
      </w:pPr>
    </w:p>
    <w:p>
      <w:pPr>
        <w:pStyle w:val="33"/>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76"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77" w:name="_Toc7690"/>
      <w:bookmarkStart w:id="78" w:name="_Toc896"/>
      <w:r>
        <w:rPr>
          <w:rFonts w:hint="eastAsia" w:ascii="宋体" w:hAnsi="宋体" w:eastAsia="宋体" w:cs="宋体"/>
          <w:b/>
          <w:sz w:val="28"/>
          <w:szCs w:val="28"/>
        </w:rPr>
        <w:t>中小企业声明函（货物）</w:t>
      </w:r>
      <w:bookmarkEnd w:id="77"/>
      <w:bookmarkEnd w:id="78"/>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none"/>
        </w:rPr>
        <w:t xml:space="preserve">  [单位名称]  </w:t>
      </w:r>
      <w:r>
        <w:rPr>
          <w:rFonts w:hint="eastAsia" w:ascii="宋体" w:hAnsi="宋体" w:eastAsia="宋体" w:cs="宋体"/>
          <w:snapToGrid w:val="0"/>
          <w:sz w:val="24"/>
          <w:szCs w:val="24"/>
        </w:rPr>
        <w:t>的</w:t>
      </w:r>
      <w:r>
        <w:rPr>
          <w:rFonts w:hint="eastAsia" w:ascii="宋体" w:hAnsi="宋体" w:eastAsia="宋体" w:cs="宋体"/>
          <w:snapToGrid w:val="0"/>
          <w:sz w:val="24"/>
          <w:szCs w:val="24"/>
          <w:u w:val="non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76"/>
      <w:r>
        <w:rPr>
          <w:rFonts w:hint="eastAsia" w:ascii="宋体" w:hAnsi="宋体" w:eastAsia="宋体" w:cs="宋体"/>
          <w:sz w:val="24"/>
          <w:szCs w:val="24"/>
        </w:rPr>
        <w:t xml:space="preserve">  年  月  日</w:t>
      </w:r>
    </w:p>
    <w:p>
      <w:pPr>
        <w:pStyle w:val="33"/>
        <w:ind w:firstLine="0"/>
        <w:rPr>
          <w:rFonts w:ascii="宋体" w:hAnsi="宋体" w:cs="宋体"/>
          <w:color w:val="FF0000"/>
        </w:rPr>
      </w:pPr>
      <w:r>
        <w:rPr>
          <w:rFonts w:hint="eastAsia" w:ascii="宋体" w:hAnsi="宋体" w:cs="宋体"/>
          <w:color w:val="FF0000"/>
        </w:rPr>
        <w:br w:type="page"/>
      </w:r>
    </w:p>
    <w:p>
      <w:pPr>
        <w:pStyle w:val="33"/>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79" w:name="_Toc4019"/>
      <w:bookmarkStart w:id="80" w:name="_Toc1046"/>
      <w:r>
        <w:rPr>
          <w:rFonts w:hint="eastAsia" w:ascii="宋体" w:hAnsi="宋体" w:eastAsia="宋体" w:cs="宋体"/>
          <w:b/>
          <w:sz w:val="28"/>
          <w:szCs w:val="28"/>
        </w:rPr>
        <w:t>残疾人福利性单位声明函</w:t>
      </w:r>
      <w:bookmarkEnd w:id="79"/>
      <w:bookmarkEnd w:id="80"/>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none"/>
        </w:rPr>
        <w:t>_</w:t>
      </w:r>
      <w:bookmarkStart w:id="81" w:name="_Hlk60666078"/>
      <w:r>
        <w:rPr>
          <w:rFonts w:hint="eastAsia" w:ascii="宋体" w:hAnsi="宋体" w:eastAsia="宋体" w:cs="宋体"/>
          <w:snapToGrid/>
          <w:sz w:val="24"/>
          <w:szCs w:val="24"/>
          <w:u w:val="none"/>
        </w:rPr>
        <w:t xml:space="preserve"> [采购人名称] </w:t>
      </w:r>
      <w:bookmarkEnd w:id="81"/>
      <w:r>
        <w:rPr>
          <w:rFonts w:hint="eastAsia" w:ascii="宋体" w:hAnsi="宋体" w:eastAsia="宋体" w:cs="宋体"/>
          <w:sz w:val="24"/>
          <w:szCs w:val="24"/>
          <w:u w:val="none"/>
        </w:rPr>
        <w:t>_</w:t>
      </w:r>
      <w:r>
        <w:rPr>
          <w:rFonts w:hint="eastAsia" w:ascii="宋体" w:hAnsi="宋体" w:eastAsia="宋体" w:cs="宋体"/>
          <w:sz w:val="24"/>
          <w:szCs w:val="24"/>
        </w:rPr>
        <w:t>单位的采购文件编号为</w:t>
      </w:r>
      <w:r>
        <w:rPr>
          <w:rFonts w:hint="eastAsia" w:ascii="宋体" w:hAnsi="宋体" w:eastAsia="宋体" w:cs="宋体"/>
          <w:sz w:val="24"/>
          <w:szCs w:val="24"/>
          <w:u w:val="none"/>
        </w:rPr>
        <w:t>_</w:t>
      </w:r>
      <w:bookmarkStart w:id="82" w:name="_Hlk60666088"/>
      <w:r>
        <w:rPr>
          <w:rFonts w:hint="eastAsia" w:ascii="宋体" w:hAnsi="宋体" w:eastAsia="宋体" w:cs="宋体"/>
          <w:snapToGrid/>
          <w:sz w:val="24"/>
          <w:szCs w:val="24"/>
          <w:u w:val="none"/>
        </w:rPr>
        <w:t xml:space="preserve"> [项目编号] </w:t>
      </w:r>
      <w:bookmarkEnd w:id="82"/>
      <w:r>
        <w:rPr>
          <w:rFonts w:hint="eastAsia" w:ascii="宋体" w:hAnsi="宋体" w:eastAsia="宋体" w:cs="宋体"/>
          <w:sz w:val="24"/>
          <w:szCs w:val="24"/>
          <w:u w:val="none"/>
        </w:rPr>
        <w:t>_</w:t>
      </w:r>
      <w:r>
        <w:rPr>
          <w:rFonts w:hint="eastAsia" w:ascii="宋体" w:hAnsi="宋体" w:eastAsia="宋体" w:cs="宋体"/>
          <w:sz w:val="24"/>
          <w:szCs w:val="24"/>
        </w:rPr>
        <w:t>的</w:t>
      </w:r>
      <w:r>
        <w:rPr>
          <w:rFonts w:hint="eastAsia" w:ascii="宋体" w:hAnsi="宋体" w:eastAsia="宋体" w:cs="宋体"/>
          <w:sz w:val="24"/>
          <w:szCs w:val="24"/>
          <w:u w:val="none"/>
        </w:rPr>
        <w:t xml:space="preserve">  </w:t>
      </w:r>
      <w:bookmarkStart w:id="83" w:name="_Hlk60666094"/>
      <w:r>
        <w:rPr>
          <w:rFonts w:hint="eastAsia" w:ascii="宋体" w:hAnsi="宋体" w:eastAsia="宋体" w:cs="宋体"/>
          <w:snapToGrid/>
          <w:sz w:val="24"/>
          <w:szCs w:val="24"/>
          <w:u w:val="none"/>
        </w:rPr>
        <w:t>[项目名称]</w:t>
      </w:r>
      <w:bookmarkEnd w:id="83"/>
      <w:r>
        <w:rPr>
          <w:rFonts w:hint="eastAsia" w:ascii="宋体" w:hAnsi="宋体" w:eastAsia="宋体" w:cs="宋体"/>
          <w:snapToGrid/>
          <w:sz w:val="24"/>
          <w:szCs w:val="24"/>
          <w:u w:val="non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84" w:name="_Hlk60666108"/>
      <w:r>
        <w:rPr>
          <w:rFonts w:hint="eastAsia" w:ascii="宋体" w:hAnsi="宋体" w:eastAsia="宋体" w:cs="宋体"/>
          <w:sz w:val="24"/>
          <w:szCs w:val="24"/>
          <w:u w:val="single"/>
        </w:rPr>
        <w:t xml:space="preserve">  [残疾人福利性单位名称]  </w:t>
      </w:r>
      <w:bookmarkEnd w:id="84"/>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85" w:name="_Hlk60666116"/>
      <w:r>
        <w:rPr>
          <w:rFonts w:hint="eastAsia" w:ascii="宋体" w:hAnsi="宋体" w:eastAsia="宋体" w:cs="宋体"/>
          <w:snapToGrid w:val="0"/>
          <w:sz w:val="24"/>
          <w:szCs w:val="24"/>
        </w:rPr>
        <w:t xml:space="preserve"> </w:t>
      </w:r>
    </w:p>
    <w:bookmarkEnd w:id="85"/>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3"/>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962F0E"/>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21459"/>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E86D1F"/>
    <w:rsid w:val="1EF26B32"/>
    <w:rsid w:val="1EF51974"/>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B561BD"/>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97FEC"/>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40A56"/>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6FF877E3"/>
    <w:rsid w:val="70186E1E"/>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078C"/>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D84FCC"/>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6"/>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6"/>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5"/>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6"/>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4"/>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 w:type="paragraph" w:customStyle="1" w:styleId="5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18515</Words>
  <Characters>19367</Characters>
  <Lines>130</Lines>
  <Paragraphs>36</Paragraphs>
  <TotalTime>9</TotalTime>
  <ScaleCrop>false</ScaleCrop>
  <LinksUpToDate>false</LinksUpToDate>
  <CharactersWithSpaces>21628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何龙</cp:lastModifiedBy>
  <dcterms:modified xsi:type="dcterms:W3CDTF">2024-06-24T08:58:23Z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A6BED1759FCE41EE9E275EBA11C9B76E_13</vt:lpwstr>
  </property>
</Properties>
</file>