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jc w:val="center"/>
        <w:rPr>
          <w:rFonts w:eastAsia="黑体"/>
          <w:b/>
          <w:bCs/>
          <w:sz w:val="84"/>
        </w:rPr>
      </w:pPr>
    </w:p>
    <w:p>
      <w:pPr>
        <w:pStyle w:val="30"/>
        <w:ind w:firstLine="0"/>
        <w:jc w:val="center"/>
        <w:rPr>
          <w:rFonts w:eastAsia="黑体"/>
          <w:b/>
          <w:bCs/>
          <w:sz w:val="84"/>
        </w:rPr>
      </w:pPr>
    </w:p>
    <w:p>
      <w:pPr>
        <w:pStyle w:val="30"/>
        <w:ind w:firstLine="0"/>
        <w:jc w:val="center"/>
        <w:rPr>
          <w:rFonts w:eastAsia="黑体"/>
          <w:b/>
          <w:bCs/>
          <w:sz w:val="84"/>
        </w:rPr>
      </w:pPr>
      <w:r>
        <w:rPr>
          <w:rFonts w:hint="eastAsia" w:eastAsia="黑体"/>
          <w:b/>
          <w:bCs/>
          <w:sz w:val="84"/>
        </w:rPr>
        <w:t>招　标　文　件</w:t>
      </w:r>
    </w:p>
    <w:p>
      <w:pPr>
        <w:pStyle w:val="30"/>
        <w:ind w:firstLine="2409" w:firstLineChars="750"/>
        <w:rPr>
          <w:b/>
          <w:bCs/>
          <w:sz w:val="32"/>
        </w:rPr>
      </w:pPr>
    </w:p>
    <w:p>
      <w:pPr>
        <w:pStyle w:val="30"/>
        <w:ind w:firstLine="0"/>
        <w:jc w:val="both"/>
        <w:rPr>
          <w:rFonts w:hint="eastAsia"/>
          <w:b/>
          <w:bCs/>
          <w:sz w:val="32"/>
        </w:rPr>
      </w:pPr>
    </w:p>
    <w:p>
      <w:pPr>
        <w:pStyle w:val="30"/>
        <w:ind w:firstLine="0"/>
        <w:jc w:val="both"/>
        <w:rPr>
          <w:rFonts w:hint="eastAsia" w:ascii="宋体" w:hAnsi="宋体"/>
          <w:b/>
          <w:bCs/>
          <w:sz w:val="32"/>
          <w:szCs w:val="32"/>
        </w:rPr>
      </w:pPr>
      <w:r>
        <w:rPr>
          <w:rFonts w:hint="eastAsia"/>
          <w:b/>
          <w:bCs/>
          <w:sz w:val="32"/>
        </w:rPr>
        <w:t>项目名称：南京医科大学</w:t>
      </w:r>
      <w:r>
        <w:rPr>
          <w:rFonts w:hint="eastAsia" w:ascii="Arial" w:hAnsi="Arial"/>
          <w:b/>
          <w:bCs/>
          <w:sz w:val="32"/>
        </w:rPr>
        <w:t>五台校区东苑9号楼通行道闸项</w:t>
      </w:r>
      <w:r>
        <w:rPr>
          <w:rFonts w:hint="eastAsia" w:ascii="宋体" w:hAnsi="宋体"/>
          <w:b/>
          <w:bCs/>
          <w:sz w:val="32"/>
          <w:szCs w:val="32"/>
        </w:rPr>
        <w:t>目</w:t>
      </w:r>
    </w:p>
    <w:p>
      <w:pPr>
        <w:pStyle w:val="30"/>
        <w:ind w:firstLine="0"/>
        <w:jc w:val="both"/>
        <w:rPr>
          <w:b/>
          <w:bCs/>
          <w:sz w:val="32"/>
        </w:rPr>
      </w:pPr>
      <w:r>
        <w:rPr>
          <w:rFonts w:hint="eastAsia"/>
          <w:b/>
          <w:bCs/>
          <w:sz w:val="32"/>
        </w:rPr>
        <w:t>项目编号：NJMUZB2242023081</w:t>
      </w: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ind w:firstLine="0"/>
        <w:jc w:val="center"/>
        <w:rPr>
          <w:b/>
          <w:bCs/>
          <w:sz w:val="32"/>
        </w:rPr>
      </w:pPr>
    </w:p>
    <w:p>
      <w:pPr>
        <w:pStyle w:val="30"/>
        <w:ind w:firstLine="0"/>
        <w:jc w:val="center"/>
        <w:rPr>
          <w:b/>
          <w:bCs/>
          <w:sz w:val="32"/>
        </w:rPr>
      </w:pPr>
      <w:r>
        <w:rPr>
          <w:rFonts w:hint="eastAsia"/>
          <w:b/>
          <w:bCs/>
          <w:sz w:val="32"/>
        </w:rPr>
        <w:t>南京医科大学</w:t>
      </w:r>
      <w:r>
        <w:br w:type="page"/>
      </w:r>
      <w:bookmarkStart w:id="0" w:name="_Toc517190880"/>
      <w:bookmarkStart w:id="1" w:name="_Toc120614210"/>
      <w:bookmarkStart w:id="2" w:name="_Toc16938516"/>
      <w:bookmarkStart w:id="3" w:name="_Toc479757206"/>
      <w:bookmarkStart w:id="4" w:name="_Toc523127445"/>
      <w:bookmarkStart w:id="5" w:name="_Toc20823272"/>
      <w:bookmarkStart w:id="6" w:name="_Toc513029200"/>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4"/>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4"/>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4"/>
          <w:rFonts w:hint="eastAsia" w:asciiTheme="majorEastAsia" w:hAnsiTheme="majorEastAsia" w:eastAsiaTheme="majorEastAsia"/>
          <w:sz w:val="24"/>
        </w:rPr>
        <w:t>第二章投标人须知</w:t>
      </w:r>
      <w:r>
        <w:rPr>
          <w:sz w:val="24"/>
        </w:rPr>
        <w:tab/>
      </w:r>
      <w:r>
        <w:rPr>
          <w:sz w:val="24"/>
        </w:rPr>
        <w:fldChar w:fldCharType="end"/>
      </w:r>
      <w:r>
        <w:rPr>
          <w:sz w:val="24"/>
        </w:rPr>
        <w:t>7</w:t>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4"/>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w:t>
      </w:r>
      <w:r>
        <w:rPr>
          <w:sz w:val="24"/>
        </w:rPr>
        <w:fldChar w:fldCharType="end"/>
      </w:r>
      <w:r>
        <w:rPr>
          <w:sz w:val="24"/>
        </w:rPr>
        <w:fldChar w:fldCharType="end"/>
      </w:r>
      <w:r>
        <w:rPr>
          <w:sz w:val="24"/>
        </w:rPr>
        <w:t>9</w:t>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4"/>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w:t>
      </w:r>
      <w:r>
        <w:rPr>
          <w:sz w:val="24"/>
        </w:rPr>
        <w:fldChar w:fldCharType="end"/>
      </w:r>
      <w:r>
        <w:rPr>
          <w:sz w:val="24"/>
        </w:rPr>
        <w:fldChar w:fldCharType="end"/>
      </w:r>
      <w:r>
        <w:rPr>
          <w:sz w:val="24"/>
        </w:rPr>
        <w:t>8</w:t>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4"/>
          <w:rFonts w:hint="eastAsia" w:ascii="宋体" w:hAnsi="宋体"/>
          <w:sz w:val="24"/>
        </w:rPr>
        <w:t>第五章投标文件格式</w:t>
      </w:r>
      <w:r>
        <w:rPr>
          <w:sz w:val="24"/>
        </w:rPr>
        <w:tab/>
      </w:r>
      <w:r>
        <w:rPr>
          <w:sz w:val="24"/>
        </w:rPr>
        <w:fldChar w:fldCharType="end"/>
      </w:r>
      <w:r>
        <w:rPr>
          <w:sz w:val="24"/>
        </w:rPr>
        <w:t>32</w:t>
      </w:r>
    </w:p>
    <w:p>
      <w:pPr>
        <w:pStyle w:val="16"/>
        <w:tabs>
          <w:tab w:val="right" w:leader="dot" w:pos="8296"/>
        </w:tabs>
        <w:spacing w:line="360" w:lineRule="auto"/>
      </w:pPr>
      <w:r>
        <w:rPr>
          <w:rFonts w:asciiTheme="minorEastAsia" w:hAnsiTheme="minorEastAsia" w:eastAsiaTheme="minorEastAsia"/>
          <w:sz w:val="40"/>
          <w:szCs w:val="28"/>
        </w:rPr>
        <w:fldChar w:fldCharType="end"/>
      </w:r>
      <w:r>
        <w:rPr>
          <w:rFonts w:hint="eastAsia"/>
          <w:sz w:val="24"/>
          <w:szCs w:val="24"/>
        </w:rPr>
        <w:t>第六章拟签订的合同文本</w:t>
      </w:r>
      <w:r>
        <w:tab/>
      </w:r>
      <w:r>
        <w:rPr>
          <w:sz w:val="24"/>
        </w:rPr>
        <w:t>39</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500" w:lineRule="exact"/>
        <w:ind w:firstLine="560" w:firstLineChars="200"/>
        <w:rPr>
          <w:rFonts w:asciiTheme="minorEastAsia" w:hAnsiTheme="minorEastAsia" w:eastAsiaTheme="minorEastAsia"/>
          <w:sz w:val="28"/>
          <w:szCs w:val="28"/>
        </w:rPr>
      </w:pPr>
      <w:bookmarkStart w:id="8" w:name="OLE_LINK2"/>
      <w:bookmarkStart w:id="9" w:name="_Toc479757207"/>
      <w:bookmarkStart w:id="10" w:name="_Toc120614211"/>
      <w:bookmarkStart w:id="11" w:name="OLE_LINK1"/>
      <w:bookmarkStart w:id="12" w:name="_Toc513029242"/>
      <w:bookmarkStart w:id="13" w:name="_Toc16938558"/>
      <w:bookmarkStart w:id="14" w:name="_Toc444669970"/>
      <w:bookmarkStart w:id="15" w:name="_Toc20823314"/>
      <w:bookmarkStart w:id="16" w:name="_Toc120614221"/>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南京医科大学五台校区东苑9号楼通行道闸项目</w:t>
      </w:r>
      <w:r>
        <w:rPr>
          <w:rFonts w:hint="eastAsia" w:asciiTheme="minorEastAsia" w:hAnsiTheme="minorEastAsia" w:eastAsiaTheme="minorEastAsia"/>
          <w:sz w:val="28"/>
          <w:szCs w:val="28"/>
        </w:rPr>
        <w:t>公开招标，相应资金已落实，欢迎符合招标公告资质要求的供应商前来投标。</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120" w:beforeLines="50" w:after="120" w:afterLines="50"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8"/>
          <w:szCs w:val="28"/>
          <w:u w:val="single"/>
        </w:rPr>
        <w:t>南京医科大学五台校区东苑9号楼通行道闸</w:t>
      </w:r>
      <w:r>
        <w:rPr>
          <w:rFonts w:hint="eastAsia" w:asciiTheme="minorEastAsia" w:hAnsiTheme="minorEastAsia" w:eastAsiaTheme="minorEastAsia"/>
          <w:sz w:val="28"/>
          <w:szCs w:val="28"/>
        </w:rPr>
        <w:t>项目</w:t>
      </w:r>
    </w:p>
    <w:p>
      <w:pPr>
        <w:spacing w:before="120" w:beforeLines="50" w:after="120" w:afterLines="50" w:line="500" w:lineRule="exact"/>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（二）采购项目编号：NJMUZB2242023081</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w:t>
      </w:r>
      <w:r>
        <w:rPr>
          <w:rFonts w:asciiTheme="minorEastAsia" w:hAnsiTheme="minorEastAsia" w:eastAsiaTheme="minorEastAsia"/>
          <w:sz w:val="28"/>
          <w:szCs w:val="28"/>
        </w:rPr>
        <w:t>19</w:t>
      </w:r>
      <w:r>
        <w:rPr>
          <w:rFonts w:hint="eastAsia" w:asciiTheme="minorEastAsia" w:hAnsiTheme="minorEastAsia" w:eastAsiaTheme="minorEastAsia"/>
          <w:sz w:val="28"/>
          <w:szCs w:val="28"/>
        </w:rPr>
        <w:t>万元</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（二）该项目一律采用人民币报价(包干价)，其他币种报价不予接受，后果由投标人承担。</w:t>
      </w:r>
    </w:p>
    <w:p>
      <w:pPr>
        <w:spacing w:before="120" w:beforeLines="50" w:after="12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（一）符合政府采购法第二十二条第一款规定的条件，并提供下列材料（注：分别提供纸质材料并加盖公章，原件备查）；</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1.具有独立承担民事责任的能力。法人或者其他组织的营业执照等证明文件，法定代表人、授权代表人的身份证明；</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2.具有良好的商业信誉和健全的财务会计制度；2022年度或2023年度任一月份的财务状况报告（成立不满一年不需提供）；</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3.依法缴纳税收和社会保障资金的相关材料；</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4.具备履行合同所必需的设备和专业技术能力的证明材料；</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5.参加政府采购活动前3年内在经营活动中没有重大违法记录的书面声明；</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6.法律、行政法规规定的其他条件。</w:t>
      </w:r>
      <w:r>
        <w:rPr>
          <w:rFonts w:hint="eastAsia" w:ascii="宋体" w:hAnsi="宋体" w:eastAsia="宋体" w:cs="Times New Roman"/>
          <w:sz w:val="28"/>
          <w:szCs w:val="28"/>
        </w:rPr>
        <w:tab/>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7.未被“信用中国”网站（www.creditchina.gov.cn）列入失信被执行人、重大税收违法案件当事人名单、政府采购严重失信行为记录名单。</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8、本次招标不接受联合体，不得分包、转包。</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（一）公告期限：自采购公告发布之日起</w:t>
      </w:r>
      <w:r>
        <w:rPr>
          <w:rFonts w:ascii="宋体" w:hAnsi="宋体" w:eastAsia="宋体" w:cs="Times New Roman"/>
          <w:sz w:val="28"/>
          <w:szCs w:val="28"/>
        </w:rPr>
        <w:t>5个工作日</w:t>
      </w:r>
      <w:r>
        <w:rPr>
          <w:rFonts w:hint="eastAsia" w:ascii="宋体" w:hAnsi="宋体" w:eastAsia="宋体" w:cs="Times New Roman"/>
          <w:sz w:val="28"/>
          <w:szCs w:val="28"/>
        </w:rPr>
        <w:t>。</w:t>
      </w:r>
    </w:p>
    <w:p>
      <w:pPr>
        <w:pStyle w:val="20"/>
        <w:ind w:left="499" w:leftChars="227"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after="0" w:line="360" w:lineRule="auto"/>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（一）投标文件接收截止时间及开标时间：202</w:t>
      </w:r>
      <w:r>
        <w:rPr>
          <w:rFonts w:ascii="宋体" w:hAnsi="宋体" w:eastAsia="宋体" w:cs="Times New Roman"/>
          <w:sz w:val="28"/>
          <w:szCs w:val="28"/>
        </w:rPr>
        <w:t>3</w:t>
      </w:r>
      <w:r>
        <w:rPr>
          <w:rFonts w:hint="eastAsia" w:ascii="宋体" w:hAnsi="宋体" w:eastAsia="宋体" w:cs="Times New Roman"/>
          <w:sz w:val="28"/>
          <w:szCs w:val="28"/>
        </w:rPr>
        <w:t>年</w:t>
      </w:r>
      <w:r>
        <w:rPr>
          <w:rFonts w:ascii="宋体" w:hAnsi="宋体" w:eastAsia="宋体" w:cs="Times New Roman"/>
          <w:sz w:val="28"/>
          <w:szCs w:val="28"/>
        </w:rPr>
        <w:t>12</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12</w:t>
      </w:r>
      <w:r>
        <w:rPr>
          <w:rFonts w:hint="eastAsia" w:ascii="宋体" w:hAnsi="宋体" w:eastAsia="宋体" w:cs="Times New Roman"/>
          <w:sz w:val="28"/>
          <w:szCs w:val="28"/>
        </w:rPr>
        <w:t>日</w:t>
      </w:r>
      <w:r>
        <w:rPr>
          <w:rFonts w:hint="eastAsia" w:ascii="宋体" w:hAnsi="宋体" w:eastAsia="宋体" w:cs="Times New Roman"/>
          <w:sz w:val="28"/>
          <w:szCs w:val="28"/>
          <w:lang w:val="en-US" w:eastAsia="zh-CN"/>
        </w:rPr>
        <w:t>14</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00</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（二）开标地点：江苏省南京市江宁区龙眠大道101号南京医科大学江宁校区德馨楼B</w:t>
      </w:r>
      <w:r>
        <w:rPr>
          <w:rFonts w:hint="eastAsia" w:ascii="宋体" w:hAnsi="宋体" w:eastAsia="宋体" w:cs="Times New Roman"/>
          <w:sz w:val="28"/>
          <w:szCs w:val="28"/>
          <w:lang w:val="en-US" w:eastAsia="zh-CN"/>
        </w:rPr>
        <w:t>201</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（三）投标文件接收要求：投标文件一式五份，其中正本一份、副本四份，在标书封面标注“正本”、“副本”字样，标书密封并在封口处加盖公章。</w:t>
      </w:r>
    </w:p>
    <w:bookmarkEnd w:id="8"/>
    <w:bookmarkEnd w:id="9"/>
    <w:bookmarkEnd w:id="10"/>
    <w:bookmarkEnd w:id="11"/>
    <w:bookmarkEnd w:id="12"/>
    <w:bookmarkEnd w:id="13"/>
    <w:bookmarkEnd w:id="14"/>
    <w:bookmarkEnd w:id="15"/>
    <w:bookmarkEnd w:id="16"/>
    <w:p>
      <w:pPr>
        <w:spacing w:after="0" w:line="360" w:lineRule="auto"/>
        <w:ind w:firstLine="562" w:firstLineChars="200"/>
        <w:rPr>
          <w:rFonts w:ascii="宋体" w:hAnsi="宋体" w:eastAsia="宋体" w:cs="Times New Roman"/>
          <w:b/>
          <w:sz w:val="28"/>
          <w:szCs w:val="28"/>
        </w:rPr>
      </w:pPr>
      <w:bookmarkStart w:id="17" w:name="_Toc523931346"/>
      <w:r>
        <w:rPr>
          <w:rFonts w:hint="eastAsia" w:ascii="宋体" w:hAnsi="宋体" w:eastAsia="宋体" w:cs="Times New Roman"/>
          <w:b/>
          <w:sz w:val="28"/>
          <w:szCs w:val="28"/>
        </w:rPr>
        <w:t>七、投标保证金</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本次招标项目不收取投标保证金。</w:t>
      </w:r>
    </w:p>
    <w:p>
      <w:pPr>
        <w:spacing w:after="0"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八、投标无效的情形</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（一）投标文件未加盖公章、法人或者授权代表未签字；</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（二）未按照招标文件规定的格式投标；</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（三）投标报价超过项目预算；</w:t>
      </w:r>
    </w:p>
    <w:p>
      <w:pPr>
        <w:spacing w:after="0" w:line="360" w:lineRule="auto"/>
        <w:ind w:firstLine="560" w:firstLineChars="200"/>
        <w:rPr>
          <w:rFonts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四</w:t>
      </w:r>
      <w:r>
        <w:rPr>
          <w:rFonts w:ascii="宋体" w:hAnsi="宋体" w:eastAsia="宋体" w:cs="Times New Roman"/>
          <w:sz w:val="28"/>
          <w:szCs w:val="28"/>
        </w:rPr>
        <w:t>）投标文件没有对招标文件的实质性要求和条件作出响应；</w:t>
      </w:r>
    </w:p>
    <w:p>
      <w:pPr>
        <w:spacing w:after="0" w:line="360" w:lineRule="auto"/>
        <w:ind w:firstLine="560" w:firstLineChars="200"/>
        <w:rPr>
          <w:rFonts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五</w:t>
      </w:r>
      <w:r>
        <w:rPr>
          <w:rFonts w:ascii="宋体" w:hAnsi="宋体" w:eastAsia="宋体" w:cs="Times New Roman"/>
          <w:sz w:val="28"/>
          <w:szCs w:val="28"/>
        </w:rPr>
        <w:t>）投标人有串通投标、弄虚作假、行贿等违法行为。</w:t>
      </w:r>
    </w:p>
    <w:p>
      <w:pPr>
        <w:spacing w:after="0" w:line="360" w:lineRule="auto"/>
        <w:ind w:firstLine="562" w:firstLineChars="200"/>
        <w:rPr>
          <w:rFonts w:ascii="宋体" w:hAnsi="宋体" w:eastAsia="宋体" w:cs="Times New Roman"/>
          <w:sz w:val="28"/>
          <w:szCs w:val="28"/>
        </w:rPr>
      </w:pPr>
      <w:r>
        <w:rPr>
          <w:rFonts w:hint="eastAsia" w:ascii="宋体" w:hAnsi="宋体" w:eastAsia="宋体" w:cs="Times New Roman"/>
          <w:b/>
          <w:sz w:val="28"/>
          <w:szCs w:val="28"/>
        </w:rPr>
        <w:t>九、公告发布期限：</w:t>
      </w:r>
      <w:r>
        <w:rPr>
          <w:rFonts w:hint="eastAsia" w:ascii="宋体" w:hAnsi="宋体" w:eastAsia="宋体" w:cs="Times New Roman"/>
          <w:sz w:val="28"/>
          <w:szCs w:val="28"/>
        </w:rPr>
        <w:t>为采购公告发布之日起五个工作日。</w:t>
      </w:r>
    </w:p>
    <w:p>
      <w:pPr>
        <w:spacing w:after="0"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十、采购项目联系信息</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联系人：许老师        联系电话：8</w:t>
      </w:r>
      <w:r>
        <w:rPr>
          <w:rFonts w:ascii="宋体" w:hAnsi="宋体" w:eastAsia="宋体" w:cs="Times New Roman"/>
          <w:sz w:val="28"/>
          <w:szCs w:val="28"/>
        </w:rPr>
        <w:t>6868357</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联系地址： 南京市江宁区龙眠大道1</w:t>
      </w:r>
      <w:r>
        <w:rPr>
          <w:rFonts w:ascii="宋体" w:hAnsi="宋体" w:eastAsia="宋体" w:cs="Times New Roman"/>
          <w:sz w:val="28"/>
          <w:szCs w:val="28"/>
        </w:rPr>
        <w:t>01号南京医科大学</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邮政编码：</w:t>
      </w:r>
      <w:r>
        <w:rPr>
          <w:rFonts w:ascii="宋体" w:hAnsi="宋体" w:eastAsia="宋体" w:cs="Times New Roman"/>
          <w:sz w:val="28"/>
          <w:szCs w:val="28"/>
        </w:rPr>
        <w:t>211166</w:t>
      </w:r>
    </w:p>
    <w:p>
      <w:pPr>
        <w:spacing w:after="0" w:line="360" w:lineRule="auto"/>
        <w:ind w:firstLine="562" w:firstLineChars="200"/>
        <w:rPr>
          <w:rFonts w:ascii="宋体" w:hAnsi="宋体" w:eastAsia="宋体" w:cs="宋体"/>
          <w:sz w:val="24"/>
          <w:szCs w:val="24"/>
        </w:rPr>
      </w:pPr>
      <w:r>
        <w:rPr>
          <w:rFonts w:hint="eastAsia" w:ascii="宋体" w:hAnsi="宋体" w:eastAsia="宋体" w:cs="Times New Roman"/>
          <w:b/>
          <w:sz w:val="28"/>
          <w:szCs w:val="28"/>
        </w:rPr>
        <w:t>十一、</w:t>
      </w:r>
      <w:r>
        <w:rPr>
          <w:rFonts w:hint="eastAsia" w:ascii="宋体" w:hAnsi="宋体" w:eastAsia="宋体" w:cs="宋体"/>
          <w:sz w:val="24"/>
          <w:szCs w:val="24"/>
        </w:rPr>
        <w:t>注意事项</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凡参加投标的相关人员在进入开标现场前完成以下程序:</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1.凡参与投标的相关人员，进入学校时应遵守学校管理规定，配合工作人员的管理。进入开标现场后，应在开标室等候，不得随意走动；</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2.入校申请</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560" w:firstLineChars="200"/>
        <w:rPr>
          <w:rFonts w:ascii="宋体" w:hAnsi="宋体" w:eastAsia="宋体" w:cs="Times New Roman"/>
          <w:sz w:val="28"/>
          <w:szCs w:val="28"/>
        </w:rPr>
      </w:pPr>
      <w:r>
        <w:rPr>
          <w:rFonts w:ascii="宋体" w:hAnsi="宋体" w:eastAsia="宋体" w:cs="Times New Roman"/>
          <w:sz w:val="28"/>
          <w:szCs w:val="28"/>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2"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Times New Roman"/>
          <w:sz w:val="28"/>
          <w:szCs w:val="28"/>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（2）通过手机号和验证码登陆系统， 点击“入校申请”。（系统内访问部门：信息化建设与管理处，人员：许学洋 ，联系方式：1</w:t>
      </w:r>
      <w:r>
        <w:rPr>
          <w:rFonts w:ascii="宋体" w:hAnsi="宋体" w:eastAsia="宋体" w:cs="Times New Roman"/>
          <w:sz w:val="28"/>
          <w:szCs w:val="28"/>
        </w:rPr>
        <w:t>3914756806</w:t>
      </w:r>
      <w:r>
        <w:rPr>
          <w:rFonts w:hint="eastAsia" w:ascii="宋体" w:hAnsi="宋体" w:eastAsia="宋体" w:cs="Times New Roman"/>
          <w:sz w:val="28"/>
          <w:szCs w:val="28"/>
        </w:rPr>
        <w:t xml:space="preserve">    ）。</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20"/>
        <w:ind w:left="440" w:firstLine="480"/>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1780540</wp:posOffset>
            </wp:positionH>
            <wp:positionV relativeFrom="paragraph">
              <wp:posOffset>87630</wp:posOffset>
            </wp:positionV>
            <wp:extent cx="1162685" cy="2035175"/>
            <wp:effectExtent l="0" t="0" r="18415" b="3175"/>
            <wp:wrapNone/>
            <wp:docPr id="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rPr>
          <w:rFonts w:ascii="宋体" w:hAnsi="宋体" w:eastAsia="宋体" w:cs="宋体"/>
          <w:sz w:val="24"/>
          <w:szCs w:val="24"/>
        </w:rPr>
      </w:pPr>
    </w:p>
    <w:p>
      <w:pPr>
        <w:pStyle w:val="20"/>
        <w:ind w:left="440" w:firstLine="440"/>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560" w:firstLineChars="200"/>
        <w:rPr>
          <w:rFonts w:hint="eastAsia" w:ascii="宋体" w:hAnsi="宋体" w:eastAsia="宋体" w:cs="Times New Roman"/>
          <w:sz w:val="28"/>
          <w:szCs w:val="28"/>
        </w:rPr>
      </w:pPr>
    </w:p>
    <w:p>
      <w:pPr>
        <w:spacing w:after="0" w:line="360" w:lineRule="auto"/>
        <w:ind w:firstLine="560" w:firstLineChars="200"/>
        <w:rPr>
          <w:rFonts w:hint="eastAsia"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bookmarkStart w:id="189" w:name="_GoBack"/>
      <w:bookmarkEnd w:id="189"/>
      <w:r>
        <w:rPr>
          <w:rFonts w:hint="eastAsia" w:ascii="宋体" w:hAnsi="宋体" w:eastAsia="宋体" w:cs="Times New Roman"/>
          <w:sz w:val="28"/>
          <w:szCs w:val="28"/>
        </w:rPr>
        <w:t>（3）填写相关信息， 上传个人照片等。</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（4）开标当天在校门口刷身份证入校。</w:t>
      </w:r>
    </w:p>
    <w:p>
      <w:pPr>
        <w:pStyle w:val="29"/>
        <w:spacing w:before="120" w:beforeLines="50" w:after="120" w:afterLines="50" w:line="360" w:lineRule="auto"/>
        <w:ind w:firstLine="640"/>
        <w:rPr>
          <w:rFonts w:asciiTheme="minorEastAsia" w:hAnsiTheme="minorEastAsia" w:eastAsiaTheme="minorEastAsia"/>
          <w:bCs/>
          <w:sz w:val="32"/>
          <w:szCs w:val="28"/>
        </w:rPr>
      </w:pPr>
    </w:p>
    <w:p>
      <w:pPr>
        <w:pStyle w:val="2"/>
        <w:pageBreakBefore/>
        <w:rPr>
          <w:rFonts w:asciiTheme="majorEastAsia" w:hAnsiTheme="majorEastAsia" w:eastAsiaTheme="majorEastAsia"/>
          <w:b/>
          <w:sz w:val="44"/>
        </w:rPr>
      </w:pPr>
      <w:r>
        <w:rPr>
          <w:rFonts w:hint="eastAsia" w:asciiTheme="majorEastAsia" w:hAnsiTheme="majorEastAsia" w:eastAsiaTheme="majorEastAsia"/>
          <w:b/>
          <w:sz w:val="44"/>
        </w:rPr>
        <w:t xml:space="preserve">第二章  </w:t>
      </w:r>
      <w:bookmarkStart w:id="18" w:name="_Toc20823274"/>
      <w:bookmarkStart w:id="19" w:name="_Toc513029202"/>
      <w:bookmarkStart w:id="20" w:name="_Toc16938518"/>
      <w:bookmarkStart w:id="21" w:name="_Toc120614213"/>
      <w:r>
        <w:rPr>
          <w:rFonts w:hint="eastAsia" w:asciiTheme="majorEastAsia" w:hAnsiTheme="majorEastAsia" w:eastAsiaTheme="majorEastAsia"/>
          <w:b/>
          <w:sz w:val="44"/>
        </w:rPr>
        <w:t>投标人须知</w:t>
      </w:r>
      <w:bookmarkEnd w:id="17"/>
      <w:bookmarkEnd w:id="18"/>
      <w:bookmarkEnd w:id="19"/>
      <w:bookmarkEnd w:id="20"/>
      <w:bookmarkEnd w:id="21"/>
    </w:p>
    <w:p>
      <w:pPr>
        <w:pStyle w:val="30"/>
        <w:rPr>
          <w:b/>
          <w:sz w:val="28"/>
          <w:szCs w:val="28"/>
        </w:rPr>
      </w:pPr>
      <w:bookmarkStart w:id="22" w:name="_Toc20823275"/>
      <w:bookmarkStart w:id="23" w:name="_Toc16938519"/>
      <w:bookmarkStart w:id="24" w:name="_Toc120614214"/>
      <w:bookmarkStart w:id="25" w:name="_Toc513029203"/>
      <w:r>
        <w:rPr>
          <w:rFonts w:hint="eastAsia"/>
          <w:b/>
          <w:sz w:val="28"/>
          <w:szCs w:val="28"/>
        </w:rPr>
        <w:t>一、总则</w:t>
      </w:r>
      <w:bookmarkEnd w:id="22"/>
      <w:bookmarkEnd w:id="23"/>
      <w:bookmarkEnd w:id="24"/>
      <w:bookmarkEnd w:id="25"/>
    </w:p>
    <w:p>
      <w:pPr>
        <w:pStyle w:val="30"/>
        <w:rPr>
          <w:b/>
          <w:bCs/>
          <w:sz w:val="28"/>
          <w:szCs w:val="28"/>
        </w:rPr>
      </w:pPr>
      <w:bookmarkStart w:id="26" w:name="_Hlt16619475"/>
      <w:bookmarkEnd w:id="26"/>
      <w:bookmarkStart w:id="27" w:name="_Toc458694821"/>
      <w:bookmarkStart w:id="28" w:name="_Toc16938520"/>
      <w:bookmarkStart w:id="29" w:name="_Toc20823276"/>
      <w:bookmarkStart w:id="30" w:name="_Toc513029204"/>
      <w:r>
        <w:rPr>
          <w:rFonts w:hint="eastAsia"/>
          <w:b/>
          <w:bCs/>
          <w:sz w:val="28"/>
          <w:szCs w:val="28"/>
        </w:rPr>
        <w:t>1</w:t>
      </w:r>
      <w:bookmarkEnd w:id="27"/>
      <w:r>
        <w:rPr>
          <w:rFonts w:hint="eastAsia"/>
          <w:b/>
          <w:bCs/>
          <w:sz w:val="28"/>
          <w:szCs w:val="28"/>
        </w:rPr>
        <w:t>、招标方式</w:t>
      </w:r>
      <w:bookmarkEnd w:id="28"/>
      <w:bookmarkEnd w:id="29"/>
      <w:bookmarkEnd w:id="30"/>
    </w:p>
    <w:p>
      <w:pPr>
        <w:pStyle w:val="30"/>
        <w:rPr>
          <w:sz w:val="28"/>
          <w:szCs w:val="28"/>
        </w:rPr>
      </w:pPr>
      <w:r>
        <w:rPr>
          <w:rFonts w:hint="eastAsia"/>
          <w:sz w:val="28"/>
          <w:szCs w:val="28"/>
        </w:rPr>
        <w:t>1.1 本次招标采取公开招标方式，本招标文件仅适用于招标公告中所述项目。</w:t>
      </w:r>
    </w:p>
    <w:p>
      <w:pPr>
        <w:pStyle w:val="30"/>
        <w:rPr>
          <w:b/>
          <w:bCs/>
          <w:sz w:val="28"/>
          <w:szCs w:val="28"/>
        </w:rPr>
      </w:pPr>
      <w:bookmarkStart w:id="31" w:name="_Toc16938521"/>
      <w:bookmarkStart w:id="32" w:name="_Toc513029205"/>
      <w:bookmarkStart w:id="33" w:name="_Toc20823277"/>
      <w:r>
        <w:rPr>
          <w:rFonts w:hint="eastAsia"/>
          <w:b/>
          <w:bCs/>
          <w:sz w:val="28"/>
          <w:szCs w:val="28"/>
        </w:rPr>
        <w:t>2、合格的投标人</w:t>
      </w:r>
      <w:bookmarkEnd w:id="31"/>
      <w:bookmarkEnd w:id="32"/>
      <w:bookmarkEnd w:id="33"/>
    </w:p>
    <w:p>
      <w:pPr>
        <w:pStyle w:val="30"/>
        <w:rPr>
          <w:sz w:val="28"/>
          <w:szCs w:val="28"/>
        </w:rPr>
      </w:pPr>
      <w:r>
        <w:rPr>
          <w:rFonts w:hint="eastAsia"/>
          <w:sz w:val="28"/>
          <w:szCs w:val="28"/>
        </w:rPr>
        <w:t>2.1满足招标公告中供应商资格要求的规定。</w:t>
      </w:r>
    </w:p>
    <w:p>
      <w:pPr>
        <w:pStyle w:val="30"/>
        <w:rPr>
          <w:sz w:val="28"/>
          <w:szCs w:val="28"/>
        </w:rPr>
      </w:pPr>
      <w:r>
        <w:rPr>
          <w:rFonts w:hint="eastAsia"/>
          <w:sz w:val="28"/>
          <w:szCs w:val="28"/>
        </w:rPr>
        <w:t>2.2 满足本文件实质性条款的规定。</w:t>
      </w:r>
    </w:p>
    <w:p>
      <w:pPr>
        <w:pStyle w:val="30"/>
        <w:rPr>
          <w:b/>
          <w:bCs/>
          <w:sz w:val="28"/>
          <w:szCs w:val="28"/>
        </w:rPr>
      </w:pPr>
      <w:bookmarkStart w:id="34" w:name="_Toc20823278"/>
      <w:bookmarkStart w:id="35" w:name="_Toc513029206"/>
      <w:bookmarkStart w:id="36" w:name="_Toc16938522"/>
      <w:r>
        <w:rPr>
          <w:rFonts w:hint="eastAsia"/>
          <w:b/>
          <w:bCs/>
          <w:sz w:val="28"/>
          <w:szCs w:val="28"/>
        </w:rPr>
        <w:t>3、适用法律</w:t>
      </w:r>
      <w:bookmarkEnd w:id="34"/>
      <w:bookmarkEnd w:id="35"/>
      <w:bookmarkEnd w:id="36"/>
    </w:p>
    <w:p>
      <w:pPr>
        <w:pStyle w:val="30"/>
        <w:rPr>
          <w:sz w:val="28"/>
          <w:szCs w:val="28"/>
        </w:rPr>
      </w:pPr>
      <w:r>
        <w:rPr>
          <w:rFonts w:hint="eastAsia"/>
          <w:sz w:val="28"/>
          <w:szCs w:val="28"/>
        </w:rPr>
        <w:t>本次招标及由此产生的合同受中华人民共和国有关的法律法规制约和保护</w:t>
      </w:r>
      <w:r>
        <w:rPr>
          <w:sz w:val="28"/>
          <w:szCs w:val="28"/>
        </w:rPr>
        <w:t>。</w:t>
      </w:r>
    </w:p>
    <w:p>
      <w:pPr>
        <w:pStyle w:val="30"/>
        <w:rPr>
          <w:b/>
          <w:bCs/>
          <w:sz w:val="28"/>
          <w:szCs w:val="28"/>
        </w:rPr>
      </w:pPr>
      <w:bookmarkStart w:id="37" w:name="_Toc513029207"/>
      <w:bookmarkStart w:id="38" w:name="_Toc462564067"/>
      <w:bookmarkStart w:id="39" w:name="_Toc16938523"/>
      <w:bookmarkStart w:id="40" w:name="_Toc20823279"/>
      <w:r>
        <w:rPr>
          <w:rFonts w:hint="eastAsia"/>
          <w:b/>
          <w:bCs/>
          <w:sz w:val="28"/>
          <w:szCs w:val="28"/>
        </w:rPr>
        <w:t>4、投标费用</w:t>
      </w:r>
      <w:bookmarkEnd w:id="37"/>
      <w:bookmarkEnd w:id="38"/>
      <w:bookmarkEnd w:id="39"/>
      <w:bookmarkEnd w:id="40"/>
    </w:p>
    <w:p>
      <w:pPr>
        <w:pStyle w:val="30"/>
        <w:rPr>
          <w:sz w:val="28"/>
          <w:szCs w:val="28"/>
        </w:rPr>
      </w:pPr>
      <w:r>
        <w:rPr>
          <w:rFonts w:hint="eastAsia"/>
          <w:sz w:val="28"/>
          <w:szCs w:val="28"/>
        </w:rPr>
        <w:t>投标人应自行承担所有与参加投标有关的费用。</w:t>
      </w:r>
    </w:p>
    <w:p>
      <w:pPr>
        <w:pStyle w:val="30"/>
        <w:rPr>
          <w:b/>
          <w:bCs/>
          <w:sz w:val="28"/>
          <w:szCs w:val="28"/>
        </w:rPr>
      </w:pPr>
      <w:r>
        <w:rPr>
          <w:rFonts w:hint="eastAsia"/>
          <w:b/>
          <w:sz w:val="28"/>
          <w:szCs w:val="28"/>
        </w:rPr>
        <w:t>5、</w:t>
      </w:r>
      <w:r>
        <w:rPr>
          <w:rFonts w:hint="eastAsia"/>
          <w:b/>
          <w:bCs/>
          <w:sz w:val="28"/>
          <w:szCs w:val="28"/>
        </w:rPr>
        <w:t>招标文件的约束力</w:t>
      </w:r>
    </w:p>
    <w:p>
      <w:pPr>
        <w:pStyle w:val="30"/>
        <w:rPr>
          <w:sz w:val="28"/>
          <w:szCs w:val="28"/>
        </w:rPr>
      </w:pPr>
      <w:r>
        <w:rPr>
          <w:rFonts w:hint="eastAsia"/>
          <w:sz w:val="28"/>
          <w:szCs w:val="28"/>
        </w:rPr>
        <w:t>投标人一旦参加本项目采购活动，即被认为接受了本招标文件的规定和约束。</w:t>
      </w:r>
    </w:p>
    <w:p>
      <w:pPr>
        <w:pStyle w:val="30"/>
        <w:rPr>
          <w:b/>
          <w:sz w:val="28"/>
          <w:szCs w:val="28"/>
        </w:rPr>
      </w:pPr>
      <w:bookmarkStart w:id="41" w:name="_Toc517190883"/>
      <w:bookmarkStart w:id="42" w:name="_Toc16938525"/>
      <w:bookmarkStart w:id="43" w:name="_Toc20823281"/>
      <w:bookmarkStart w:id="44" w:name="_Toc120614215"/>
      <w:bookmarkStart w:id="45" w:name="_Toc513029209"/>
      <w:r>
        <w:rPr>
          <w:rFonts w:hint="eastAsia"/>
          <w:b/>
          <w:sz w:val="28"/>
          <w:szCs w:val="28"/>
        </w:rPr>
        <w:t>二、招标文件</w:t>
      </w:r>
      <w:bookmarkEnd w:id="41"/>
      <w:bookmarkEnd w:id="42"/>
      <w:bookmarkEnd w:id="43"/>
      <w:bookmarkEnd w:id="44"/>
      <w:bookmarkEnd w:id="45"/>
    </w:p>
    <w:p>
      <w:pPr>
        <w:pStyle w:val="30"/>
        <w:rPr>
          <w:b/>
          <w:bCs/>
          <w:sz w:val="28"/>
          <w:szCs w:val="28"/>
        </w:rPr>
      </w:pPr>
      <w:bookmarkStart w:id="46" w:name="_Toc20823282"/>
      <w:bookmarkStart w:id="47" w:name="_Toc513029210"/>
      <w:bookmarkStart w:id="48" w:name="_Toc16938526"/>
      <w:r>
        <w:rPr>
          <w:rFonts w:hint="eastAsia"/>
          <w:b/>
          <w:bCs/>
          <w:sz w:val="28"/>
          <w:szCs w:val="28"/>
        </w:rPr>
        <w:t>6、招标文件构成</w:t>
      </w:r>
      <w:bookmarkEnd w:id="46"/>
      <w:bookmarkEnd w:id="47"/>
      <w:bookmarkEnd w:id="48"/>
    </w:p>
    <w:p>
      <w:pPr>
        <w:pStyle w:val="30"/>
        <w:rPr>
          <w:sz w:val="28"/>
          <w:szCs w:val="28"/>
        </w:rPr>
      </w:pPr>
      <w:r>
        <w:rPr>
          <w:rFonts w:hint="eastAsia"/>
          <w:bCs/>
          <w:sz w:val="28"/>
          <w:szCs w:val="28"/>
        </w:rPr>
        <w:t>6.1</w:t>
      </w:r>
      <w:r>
        <w:rPr>
          <w:rFonts w:hint="eastAsia"/>
          <w:sz w:val="28"/>
          <w:szCs w:val="28"/>
        </w:rPr>
        <w:t>招标文件由以下部分组成：</w:t>
      </w:r>
    </w:p>
    <w:p>
      <w:pPr>
        <w:pStyle w:val="30"/>
        <w:rPr>
          <w:sz w:val="28"/>
          <w:szCs w:val="28"/>
        </w:rPr>
      </w:pPr>
      <w:r>
        <w:rPr>
          <w:rFonts w:hint="eastAsia"/>
          <w:sz w:val="28"/>
          <w:szCs w:val="28"/>
        </w:rPr>
        <w:t>（1）招标公告</w:t>
      </w:r>
    </w:p>
    <w:p>
      <w:pPr>
        <w:pStyle w:val="30"/>
        <w:rPr>
          <w:sz w:val="28"/>
          <w:szCs w:val="28"/>
        </w:rPr>
      </w:pPr>
      <w:r>
        <w:rPr>
          <w:rFonts w:hint="eastAsia"/>
          <w:sz w:val="28"/>
          <w:szCs w:val="28"/>
        </w:rPr>
        <w:t>（2）投标人须知</w:t>
      </w:r>
    </w:p>
    <w:p>
      <w:pPr>
        <w:pStyle w:val="30"/>
        <w:rPr>
          <w:sz w:val="28"/>
          <w:szCs w:val="28"/>
        </w:rPr>
      </w:pPr>
      <w:r>
        <w:rPr>
          <w:rFonts w:hint="eastAsia"/>
          <w:sz w:val="28"/>
          <w:szCs w:val="28"/>
        </w:rPr>
        <w:t>（3）项目需求</w:t>
      </w:r>
    </w:p>
    <w:p>
      <w:pPr>
        <w:pStyle w:val="30"/>
        <w:rPr>
          <w:sz w:val="28"/>
          <w:szCs w:val="28"/>
        </w:rPr>
      </w:pPr>
      <w:r>
        <w:rPr>
          <w:rFonts w:hint="eastAsia"/>
          <w:sz w:val="28"/>
          <w:szCs w:val="28"/>
        </w:rPr>
        <w:t>（4）评标方法与评标标准</w:t>
      </w:r>
    </w:p>
    <w:p>
      <w:pPr>
        <w:pStyle w:val="30"/>
        <w:rPr>
          <w:sz w:val="28"/>
          <w:szCs w:val="28"/>
        </w:rPr>
      </w:pPr>
      <w:r>
        <w:rPr>
          <w:rFonts w:hint="eastAsia"/>
          <w:sz w:val="28"/>
          <w:szCs w:val="28"/>
        </w:rPr>
        <w:t>（5）投标文件格式</w:t>
      </w:r>
    </w:p>
    <w:p>
      <w:pPr>
        <w:pStyle w:val="30"/>
        <w:rPr>
          <w:sz w:val="28"/>
          <w:szCs w:val="28"/>
        </w:rPr>
      </w:pPr>
      <w:r>
        <w:rPr>
          <w:rFonts w:hint="eastAsia"/>
          <w:sz w:val="28"/>
          <w:szCs w:val="28"/>
        </w:rPr>
        <w:t>请仔细检查招标文件是否齐全，如有缺漏请立即与采购人联系解决。</w:t>
      </w:r>
    </w:p>
    <w:p>
      <w:pPr>
        <w:pStyle w:val="30"/>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30"/>
        <w:rPr>
          <w:b/>
          <w:bCs/>
          <w:sz w:val="28"/>
          <w:szCs w:val="28"/>
        </w:rPr>
      </w:pPr>
      <w:bookmarkStart w:id="49" w:name="_Toc513029211"/>
      <w:bookmarkStart w:id="50" w:name="_Toc20823283"/>
      <w:bookmarkStart w:id="51" w:name="_Toc462564070"/>
      <w:bookmarkStart w:id="52" w:name="_Toc16938527"/>
      <w:r>
        <w:rPr>
          <w:rFonts w:hint="eastAsia"/>
          <w:b/>
          <w:bCs/>
          <w:sz w:val="28"/>
          <w:szCs w:val="28"/>
        </w:rPr>
        <w:t>7、招标文件的澄清</w:t>
      </w:r>
      <w:bookmarkEnd w:id="49"/>
      <w:bookmarkEnd w:id="50"/>
      <w:bookmarkEnd w:id="51"/>
      <w:bookmarkEnd w:id="52"/>
    </w:p>
    <w:p>
      <w:pPr>
        <w:pStyle w:val="30"/>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30"/>
        <w:rPr>
          <w:b/>
          <w:bCs/>
          <w:sz w:val="28"/>
          <w:szCs w:val="28"/>
        </w:rPr>
      </w:pPr>
      <w:bookmarkStart w:id="53" w:name="_Toc16938528"/>
      <w:bookmarkStart w:id="54" w:name="_Toc20823284"/>
      <w:bookmarkStart w:id="55" w:name="_Toc462564071"/>
      <w:bookmarkStart w:id="56" w:name="_Toc513029212"/>
      <w:r>
        <w:rPr>
          <w:rFonts w:hint="eastAsia"/>
          <w:b/>
          <w:bCs/>
          <w:sz w:val="28"/>
          <w:szCs w:val="28"/>
        </w:rPr>
        <w:t>8、招标文件的修改</w:t>
      </w:r>
      <w:bookmarkEnd w:id="53"/>
      <w:bookmarkEnd w:id="54"/>
      <w:bookmarkEnd w:id="55"/>
      <w:bookmarkEnd w:id="56"/>
    </w:p>
    <w:p>
      <w:pPr>
        <w:pStyle w:val="30"/>
        <w:rPr>
          <w:sz w:val="28"/>
          <w:szCs w:val="28"/>
        </w:rPr>
      </w:pPr>
      <w:r>
        <w:rPr>
          <w:rFonts w:hint="eastAsia"/>
          <w:bCs/>
          <w:sz w:val="28"/>
          <w:szCs w:val="28"/>
        </w:rPr>
        <w:t>8.1</w:t>
      </w:r>
      <w:r>
        <w:rPr>
          <w:rFonts w:hint="eastAsia"/>
          <w:sz w:val="28"/>
          <w:szCs w:val="28"/>
        </w:rPr>
        <w:t>在投标截止时间前，采购人可以对招标文件进行修改。</w:t>
      </w:r>
    </w:p>
    <w:p>
      <w:pPr>
        <w:pStyle w:val="30"/>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30"/>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30"/>
        <w:rPr>
          <w:b/>
          <w:sz w:val="28"/>
          <w:szCs w:val="28"/>
        </w:rPr>
      </w:pPr>
      <w:bookmarkStart w:id="57" w:name="_Toc20823285"/>
      <w:bookmarkStart w:id="58" w:name="_Toc517190884"/>
      <w:bookmarkStart w:id="59" w:name="_Toc462564072"/>
      <w:bookmarkStart w:id="60" w:name="_Toc513029213"/>
      <w:bookmarkStart w:id="61" w:name="_Toc120614216"/>
      <w:bookmarkStart w:id="62" w:name="_Toc16938529"/>
      <w:r>
        <w:rPr>
          <w:rFonts w:hint="eastAsia"/>
          <w:b/>
          <w:sz w:val="28"/>
          <w:szCs w:val="28"/>
        </w:rPr>
        <w:t>三、投标文件的编制</w:t>
      </w:r>
      <w:bookmarkEnd w:id="57"/>
      <w:bookmarkEnd w:id="58"/>
      <w:bookmarkEnd w:id="59"/>
      <w:bookmarkEnd w:id="60"/>
      <w:bookmarkEnd w:id="61"/>
      <w:bookmarkEnd w:id="62"/>
    </w:p>
    <w:p>
      <w:pPr>
        <w:pStyle w:val="30"/>
        <w:rPr>
          <w:bCs/>
          <w:sz w:val="28"/>
          <w:szCs w:val="28"/>
        </w:rPr>
      </w:pPr>
      <w:bookmarkStart w:id="63" w:name="_Toc20823286"/>
      <w:bookmarkStart w:id="64" w:name="_Toc513029214"/>
      <w:bookmarkStart w:id="65" w:name="_Toc16938530"/>
      <w:bookmarkStart w:id="66" w:name="_Toc462564073"/>
      <w:r>
        <w:rPr>
          <w:rFonts w:hint="eastAsia"/>
          <w:b/>
          <w:bCs/>
          <w:sz w:val="28"/>
          <w:szCs w:val="28"/>
        </w:rPr>
        <w:t>9、投标文件的语言及度量衡单位</w:t>
      </w:r>
      <w:bookmarkEnd w:id="63"/>
      <w:bookmarkEnd w:id="64"/>
      <w:bookmarkEnd w:id="65"/>
      <w:bookmarkEnd w:id="66"/>
    </w:p>
    <w:p>
      <w:pPr>
        <w:pStyle w:val="30"/>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30"/>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30"/>
        <w:rPr>
          <w:b/>
          <w:bCs/>
          <w:sz w:val="28"/>
          <w:szCs w:val="28"/>
        </w:rPr>
      </w:pPr>
      <w:bookmarkStart w:id="67" w:name="_Toc513029215"/>
      <w:bookmarkStart w:id="68" w:name="_Toc20823287"/>
      <w:bookmarkStart w:id="69" w:name="_Toc462564074"/>
      <w:bookmarkStart w:id="70" w:name="_Toc16938531"/>
      <w:r>
        <w:rPr>
          <w:rFonts w:hint="eastAsia"/>
          <w:b/>
          <w:bCs/>
          <w:sz w:val="28"/>
          <w:szCs w:val="28"/>
        </w:rPr>
        <w:t>10、投标文件构成</w:t>
      </w:r>
      <w:bookmarkEnd w:id="67"/>
      <w:bookmarkEnd w:id="68"/>
      <w:bookmarkEnd w:id="69"/>
      <w:bookmarkEnd w:id="70"/>
    </w:p>
    <w:p>
      <w:pPr>
        <w:pStyle w:val="30"/>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30"/>
        <w:rPr>
          <w:sz w:val="28"/>
          <w:szCs w:val="28"/>
        </w:rPr>
      </w:pPr>
      <w:r>
        <w:rPr>
          <w:rFonts w:hint="eastAsia"/>
          <w:sz w:val="28"/>
          <w:szCs w:val="28"/>
        </w:rPr>
        <w:t>10.2投标人应将投标文件按顺序装订成册，并编制投标文件资料目录。</w:t>
      </w:r>
    </w:p>
    <w:p>
      <w:pPr>
        <w:pStyle w:val="30"/>
        <w:rPr>
          <w:b/>
          <w:bCs/>
          <w:sz w:val="28"/>
          <w:szCs w:val="28"/>
        </w:rPr>
      </w:pPr>
      <w:bookmarkStart w:id="71" w:name="_Hlt26954838"/>
      <w:bookmarkEnd w:id="71"/>
      <w:bookmarkStart w:id="72" w:name="_Hlt26668975"/>
      <w:bookmarkEnd w:id="72"/>
      <w:bookmarkStart w:id="73" w:name="_Hlt26670360"/>
      <w:bookmarkEnd w:id="73"/>
      <w:bookmarkStart w:id="74" w:name="_Toc14577357"/>
      <w:bookmarkStart w:id="75" w:name="_Toc513029219"/>
      <w:bookmarkStart w:id="76" w:name="_Toc49090509"/>
      <w:bookmarkStart w:id="77" w:name="_Toc14577354"/>
      <w:bookmarkStart w:id="78" w:name="_Toc49090507"/>
      <w:bookmarkStart w:id="79" w:name="_Toc513029216"/>
      <w:r>
        <w:rPr>
          <w:rFonts w:hint="eastAsia"/>
          <w:b/>
          <w:bCs/>
          <w:sz w:val="28"/>
          <w:szCs w:val="28"/>
        </w:rPr>
        <w:t>11、证明投标人资格及符合招标文件规定的文件</w:t>
      </w:r>
      <w:bookmarkEnd w:id="74"/>
      <w:bookmarkEnd w:id="75"/>
      <w:bookmarkEnd w:id="76"/>
    </w:p>
    <w:p>
      <w:pPr>
        <w:pStyle w:val="30"/>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30"/>
        <w:rPr>
          <w:sz w:val="28"/>
          <w:szCs w:val="28"/>
        </w:rPr>
      </w:pPr>
      <w:r>
        <w:rPr>
          <w:rFonts w:hint="eastAsia"/>
          <w:sz w:val="28"/>
          <w:szCs w:val="28"/>
        </w:rPr>
        <w:t>11.2投标人应具有资格参加投标和中标后有能力独立履行合同的能力。</w:t>
      </w:r>
    </w:p>
    <w:p>
      <w:pPr>
        <w:pStyle w:val="30"/>
        <w:rPr>
          <w:sz w:val="28"/>
          <w:szCs w:val="28"/>
        </w:rPr>
      </w:pPr>
      <w:r>
        <w:rPr>
          <w:rFonts w:hint="eastAsia"/>
          <w:sz w:val="28"/>
          <w:szCs w:val="28"/>
        </w:rPr>
        <w:t>11.3投标人除必须具有履行合同所需提供的货物以及服务的能力外，还必须具备相应的财务、技术方面的能力。</w:t>
      </w:r>
    </w:p>
    <w:p>
      <w:pPr>
        <w:pStyle w:val="30"/>
        <w:rPr>
          <w:sz w:val="28"/>
          <w:szCs w:val="28"/>
        </w:rPr>
      </w:pPr>
      <w:r>
        <w:rPr>
          <w:rFonts w:hint="eastAsia"/>
          <w:sz w:val="28"/>
          <w:szCs w:val="28"/>
        </w:rPr>
        <w:t>11.4投标人应提交根据采购项目要求提供的证明产品质量合格以及符合招标文件规定的证明文件。</w:t>
      </w:r>
    </w:p>
    <w:p>
      <w:pPr>
        <w:pStyle w:val="30"/>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30"/>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30"/>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30"/>
        <w:rPr>
          <w:bCs/>
          <w:sz w:val="28"/>
          <w:szCs w:val="28"/>
        </w:rPr>
      </w:pPr>
      <w:r>
        <w:rPr>
          <w:rFonts w:hint="eastAsia"/>
          <w:sz w:val="28"/>
          <w:szCs w:val="28"/>
        </w:rPr>
        <w:t>12.3</w:t>
      </w:r>
      <w:r>
        <w:rPr>
          <w:rFonts w:hint="eastAsia"/>
          <w:bCs/>
          <w:sz w:val="28"/>
          <w:szCs w:val="28"/>
        </w:rPr>
        <w:t>有关费用处理</w:t>
      </w:r>
    </w:p>
    <w:p>
      <w:pPr>
        <w:pStyle w:val="30"/>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30"/>
        <w:rPr>
          <w:bCs/>
          <w:sz w:val="28"/>
          <w:szCs w:val="28"/>
        </w:rPr>
      </w:pPr>
      <w:r>
        <w:rPr>
          <w:rFonts w:hint="eastAsia"/>
          <w:sz w:val="28"/>
          <w:szCs w:val="28"/>
        </w:rPr>
        <w:t>12.4</w:t>
      </w:r>
      <w:r>
        <w:rPr>
          <w:rFonts w:hint="eastAsia"/>
          <w:bCs/>
          <w:sz w:val="28"/>
          <w:szCs w:val="28"/>
        </w:rPr>
        <w:t>其它费用处理</w:t>
      </w:r>
    </w:p>
    <w:p>
      <w:pPr>
        <w:pStyle w:val="30"/>
        <w:rPr>
          <w:bCs/>
          <w:sz w:val="28"/>
          <w:szCs w:val="28"/>
        </w:rPr>
      </w:pPr>
      <w:r>
        <w:rPr>
          <w:rFonts w:hint="eastAsia"/>
          <w:bCs/>
          <w:sz w:val="28"/>
          <w:szCs w:val="28"/>
        </w:rPr>
        <w:t>招标文件未列明，而投标人认为必需的费用也需列入报价。</w:t>
      </w:r>
    </w:p>
    <w:p>
      <w:pPr>
        <w:pStyle w:val="30"/>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30"/>
        <w:rPr>
          <w:bCs/>
          <w:sz w:val="28"/>
          <w:szCs w:val="28"/>
        </w:rPr>
      </w:pPr>
      <w:bookmarkStart w:id="86" w:name="_Hlt26954842"/>
      <w:bookmarkEnd w:id="86"/>
      <w:bookmarkStart w:id="87" w:name="_Hlt26668983"/>
      <w:bookmarkEnd w:id="87"/>
      <w:bookmarkStart w:id="88" w:name="_Hlt26670425"/>
      <w:bookmarkEnd w:id="88"/>
      <w:bookmarkStart w:id="89" w:name="_Hlt26954844"/>
      <w:bookmarkEnd w:id="89"/>
      <w:bookmarkStart w:id="90" w:name="_Hlt2667040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30"/>
        <w:rPr>
          <w:bCs/>
          <w:sz w:val="28"/>
          <w:szCs w:val="28"/>
        </w:rPr>
      </w:pPr>
      <w:r>
        <w:rPr>
          <w:rFonts w:hint="eastAsia"/>
          <w:sz w:val="28"/>
          <w:szCs w:val="28"/>
        </w:rPr>
        <w:t>（2）</w:t>
      </w:r>
      <w:r>
        <w:rPr>
          <w:rFonts w:hint="eastAsia"/>
          <w:bCs/>
          <w:sz w:val="28"/>
          <w:szCs w:val="28"/>
        </w:rPr>
        <w:t>项目单价按投标配置及分项报价表中要求填报。</w:t>
      </w:r>
    </w:p>
    <w:p>
      <w:pPr>
        <w:pStyle w:val="30"/>
        <w:rPr>
          <w:b/>
          <w:bCs/>
          <w:sz w:val="28"/>
          <w:szCs w:val="28"/>
        </w:rPr>
      </w:pPr>
      <w:bookmarkStart w:id="91" w:name="_Hlt26670482"/>
      <w:bookmarkEnd w:id="91"/>
      <w:bookmarkStart w:id="92" w:name="_Hlt26954846"/>
      <w:bookmarkEnd w:id="92"/>
      <w:bookmarkStart w:id="93" w:name="_Hlt26954731"/>
      <w:bookmarkEnd w:id="93"/>
      <w:bookmarkStart w:id="94" w:name="_Hlt26954848"/>
      <w:bookmarkEnd w:id="94"/>
      <w:bookmarkStart w:id="95" w:name="_Hlt26670486"/>
      <w:bookmarkEnd w:id="95"/>
      <w:r>
        <w:rPr>
          <w:rFonts w:hint="eastAsia"/>
          <w:b/>
          <w:bCs/>
          <w:sz w:val="28"/>
          <w:szCs w:val="28"/>
        </w:rPr>
        <w:t>13、技术参数响应及偏离表和投标货物说明</w:t>
      </w:r>
    </w:p>
    <w:p>
      <w:pPr>
        <w:pStyle w:val="30"/>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30"/>
        <w:rPr>
          <w:rFonts w:cs="宋体"/>
          <w:sz w:val="28"/>
          <w:szCs w:val="28"/>
          <w:lang w:val="zh-CN"/>
        </w:rPr>
      </w:pPr>
      <w:r>
        <w:rPr>
          <w:rFonts w:hint="eastAsia" w:cs="宋体"/>
          <w:sz w:val="28"/>
          <w:szCs w:val="28"/>
          <w:lang w:val="zh-CN"/>
        </w:rPr>
        <w:t>13.2详细阐述所投货物的主要组成部分、功能设计、实现思路及关键技术；</w:t>
      </w:r>
    </w:p>
    <w:p>
      <w:pPr>
        <w:pStyle w:val="30"/>
        <w:rPr>
          <w:rFonts w:cs="宋体"/>
          <w:sz w:val="28"/>
          <w:szCs w:val="28"/>
          <w:lang w:val="zh-CN"/>
        </w:rPr>
      </w:pPr>
      <w:r>
        <w:rPr>
          <w:rFonts w:hint="eastAsia" w:cs="宋体"/>
          <w:sz w:val="28"/>
          <w:szCs w:val="28"/>
          <w:lang w:val="zh-CN"/>
        </w:rPr>
        <w:t>13.3投标人认为需要的其他技术文件或说明。</w:t>
      </w:r>
    </w:p>
    <w:p>
      <w:pPr>
        <w:pStyle w:val="30"/>
        <w:rPr>
          <w:b/>
          <w:bCs/>
          <w:sz w:val="28"/>
          <w:szCs w:val="28"/>
        </w:rPr>
      </w:pPr>
      <w:r>
        <w:rPr>
          <w:rFonts w:hint="eastAsia"/>
          <w:b/>
          <w:bCs/>
          <w:sz w:val="28"/>
          <w:szCs w:val="28"/>
        </w:rPr>
        <w:t>14、服务承诺及售后服务机构、人员的情况介绍</w:t>
      </w:r>
    </w:p>
    <w:p>
      <w:pPr>
        <w:pStyle w:val="30"/>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30"/>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30"/>
        <w:rPr>
          <w:rFonts w:cs="宋体"/>
          <w:sz w:val="28"/>
          <w:szCs w:val="28"/>
          <w:lang w:val="zh-CN"/>
        </w:rPr>
      </w:pPr>
      <w:r>
        <w:rPr>
          <w:rFonts w:hint="eastAsia" w:cs="宋体"/>
          <w:sz w:val="28"/>
          <w:szCs w:val="28"/>
          <w:lang w:val="zh-CN"/>
        </w:rPr>
        <w:t>14.3培训计划；</w:t>
      </w:r>
    </w:p>
    <w:p>
      <w:pPr>
        <w:pStyle w:val="30"/>
        <w:rPr>
          <w:rFonts w:cs="宋体"/>
          <w:sz w:val="28"/>
          <w:szCs w:val="28"/>
          <w:lang w:val="zh-CN"/>
        </w:rPr>
      </w:pPr>
      <w:r>
        <w:rPr>
          <w:rFonts w:hint="eastAsia" w:cs="宋体"/>
          <w:sz w:val="28"/>
          <w:szCs w:val="28"/>
          <w:lang w:val="zh-CN"/>
        </w:rPr>
        <w:t>14.4提供参加本项目类似案例简介；</w:t>
      </w:r>
    </w:p>
    <w:p>
      <w:pPr>
        <w:pStyle w:val="30"/>
        <w:rPr>
          <w:b/>
          <w:bCs/>
          <w:sz w:val="28"/>
          <w:szCs w:val="28"/>
        </w:rPr>
      </w:pPr>
      <w:bookmarkStart w:id="96" w:name="_Toc14577359"/>
      <w:bookmarkStart w:id="97" w:name="_Toc49090510"/>
      <w:r>
        <w:rPr>
          <w:rFonts w:hint="eastAsia"/>
          <w:b/>
          <w:bCs/>
          <w:sz w:val="28"/>
          <w:szCs w:val="28"/>
        </w:rPr>
        <w:t>15、投标函和开标一览表</w:t>
      </w:r>
    </w:p>
    <w:p>
      <w:pPr>
        <w:pStyle w:val="30"/>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30"/>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30"/>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30"/>
        <w:rPr>
          <w:b/>
          <w:bCs/>
          <w:sz w:val="28"/>
          <w:szCs w:val="28"/>
        </w:rPr>
      </w:pPr>
      <w:r>
        <w:rPr>
          <w:rFonts w:hint="eastAsia"/>
          <w:b/>
          <w:bCs/>
          <w:sz w:val="28"/>
          <w:szCs w:val="28"/>
        </w:rPr>
        <w:t>16、投标保证金</w:t>
      </w:r>
      <w:bookmarkEnd w:id="96"/>
      <w:bookmarkEnd w:id="97"/>
    </w:p>
    <w:p>
      <w:pPr>
        <w:pStyle w:val="30"/>
        <w:rPr>
          <w:bCs/>
          <w:sz w:val="28"/>
          <w:szCs w:val="28"/>
        </w:rPr>
      </w:pPr>
      <w:r>
        <w:rPr>
          <w:rFonts w:hint="eastAsia"/>
          <w:sz w:val="28"/>
          <w:szCs w:val="28"/>
        </w:rPr>
        <w:t>16.1</w:t>
      </w:r>
      <w:r>
        <w:rPr>
          <w:rFonts w:hint="eastAsia"/>
          <w:bCs/>
          <w:sz w:val="28"/>
          <w:szCs w:val="28"/>
        </w:rPr>
        <w:t>在开标时，未按要求提交投标保证金的投标无效。</w:t>
      </w:r>
    </w:p>
    <w:p>
      <w:pPr>
        <w:pStyle w:val="30"/>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30"/>
        <w:rPr>
          <w:bCs/>
          <w:sz w:val="28"/>
          <w:szCs w:val="28"/>
        </w:rPr>
      </w:pPr>
      <w:r>
        <w:rPr>
          <w:rFonts w:hint="eastAsia"/>
          <w:sz w:val="28"/>
          <w:szCs w:val="28"/>
        </w:rPr>
        <w:t>16.3</w:t>
      </w:r>
      <w:r>
        <w:rPr>
          <w:rFonts w:hint="eastAsia"/>
          <w:bCs/>
          <w:sz w:val="28"/>
          <w:szCs w:val="28"/>
        </w:rPr>
        <w:t>下列任何情况发生时，投标保证金将不予退还：</w:t>
      </w:r>
    </w:p>
    <w:p>
      <w:pPr>
        <w:pStyle w:val="30"/>
        <w:rPr>
          <w:bCs/>
          <w:sz w:val="28"/>
          <w:szCs w:val="28"/>
        </w:rPr>
      </w:pPr>
      <w:r>
        <w:rPr>
          <w:rFonts w:hint="eastAsia"/>
          <w:bCs/>
          <w:sz w:val="28"/>
          <w:szCs w:val="28"/>
        </w:rPr>
        <w:t>（1）投标人在投标有效期内撤回其投标；</w:t>
      </w:r>
    </w:p>
    <w:p>
      <w:pPr>
        <w:pStyle w:val="30"/>
        <w:rPr>
          <w:bCs/>
          <w:sz w:val="28"/>
          <w:szCs w:val="28"/>
        </w:rPr>
      </w:pPr>
      <w:r>
        <w:rPr>
          <w:rFonts w:hint="eastAsia"/>
          <w:bCs/>
          <w:sz w:val="28"/>
          <w:szCs w:val="28"/>
        </w:rPr>
        <w:t>（2）投标人提供的有关资料、资格证明文件被确认是不真实的；</w:t>
      </w:r>
    </w:p>
    <w:p>
      <w:pPr>
        <w:pStyle w:val="30"/>
        <w:rPr>
          <w:sz w:val="28"/>
          <w:szCs w:val="28"/>
        </w:rPr>
      </w:pPr>
      <w:r>
        <w:rPr>
          <w:rFonts w:hint="eastAsia"/>
          <w:sz w:val="28"/>
          <w:szCs w:val="28"/>
        </w:rPr>
        <w:t>（3）投标人之间被证实有串通（统一哄抬价格）、欺诈行为；</w:t>
      </w:r>
    </w:p>
    <w:p>
      <w:pPr>
        <w:pStyle w:val="30"/>
        <w:rPr>
          <w:sz w:val="28"/>
          <w:szCs w:val="28"/>
        </w:rPr>
      </w:pPr>
      <w:r>
        <w:rPr>
          <w:rFonts w:hint="eastAsia"/>
          <w:sz w:val="28"/>
          <w:szCs w:val="28"/>
        </w:rPr>
        <w:t>（4）投标人被证明有妨碍其他人公平竞争、损害采购人或者其他投标人合法权益的；</w:t>
      </w:r>
    </w:p>
    <w:p>
      <w:pPr>
        <w:pStyle w:val="30"/>
        <w:rPr>
          <w:b/>
          <w:bCs/>
          <w:sz w:val="28"/>
          <w:szCs w:val="28"/>
        </w:rPr>
      </w:pPr>
      <w:bookmarkStart w:id="98" w:name="_Hlt26670489"/>
      <w:bookmarkEnd w:id="98"/>
      <w:bookmarkStart w:id="99" w:name="_Hlt26954852"/>
      <w:bookmarkEnd w:id="99"/>
      <w:bookmarkStart w:id="100" w:name="_Hlt26954734"/>
      <w:bookmarkEnd w:id="100"/>
      <w:bookmarkStart w:id="101" w:name="_Hlt26954850"/>
      <w:bookmarkEnd w:id="101"/>
      <w:bookmarkStart w:id="102" w:name="_Hlt26954739"/>
      <w:bookmarkEnd w:id="102"/>
      <w:bookmarkStart w:id="103" w:name="_Toc14577361"/>
      <w:bookmarkStart w:id="104" w:name="_Toc49090512"/>
      <w:r>
        <w:rPr>
          <w:rFonts w:hint="eastAsia"/>
          <w:b/>
          <w:bCs/>
          <w:sz w:val="28"/>
          <w:szCs w:val="28"/>
        </w:rPr>
        <w:t>17、投标文件份数和签署</w:t>
      </w:r>
      <w:bookmarkEnd w:id="103"/>
      <w:bookmarkEnd w:id="104"/>
    </w:p>
    <w:p>
      <w:pPr>
        <w:pStyle w:val="30"/>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30"/>
        <w:rPr>
          <w:sz w:val="28"/>
          <w:szCs w:val="28"/>
        </w:rPr>
      </w:pPr>
      <w:r>
        <w:rPr>
          <w:rFonts w:hint="eastAsia"/>
          <w:sz w:val="28"/>
          <w:szCs w:val="28"/>
        </w:rPr>
        <w:t>17.2投标文件的正本须经法定代表人或授权代表签署和加盖投标人公章。</w:t>
      </w:r>
    </w:p>
    <w:p>
      <w:pPr>
        <w:pStyle w:val="30"/>
        <w:rPr>
          <w:b/>
          <w:sz w:val="28"/>
          <w:szCs w:val="28"/>
        </w:rPr>
      </w:pPr>
      <w:bookmarkStart w:id="105" w:name="_Toc513029224"/>
      <w:bookmarkStart w:id="106" w:name="_Toc16938540"/>
      <w:bookmarkStart w:id="107" w:name="_Toc120614217"/>
      <w:bookmarkStart w:id="108" w:name="_Toc20823296"/>
      <w:bookmarkStart w:id="109" w:name="_Toc517190885"/>
      <w:r>
        <w:rPr>
          <w:rFonts w:hint="eastAsia"/>
          <w:b/>
          <w:sz w:val="28"/>
          <w:szCs w:val="28"/>
        </w:rPr>
        <w:t>四、投标文件的递交</w:t>
      </w:r>
      <w:bookmarkEnd w:id="105"/>
      <w:bookmarkEnd w:id="106"/>
      <w:bookmarkEnd w:id="107"/>
      <w:bookmarkEnd w:id="108"/>
      <w:bookmarkEnd w:id="109"/>
    </w:p>
    <w:p>
      <w:pPr>
        <w:pStyle w:val="30"/>
        <w:rPr>
          <w:b/>
          <w:bCs/>
          <w:sz w:val="28"/>
          <w:szCs w:val="28"/>
        </w:rPr>
      </w:pPr>
      <w:bookmarkStart w:id="110" w:name="_Toc462564084"/>
      <w:bookmarkStart w:id="111" w:name="_Toc20823297"/>
      <w:bookmarkStart w:id="112" w:name="_Toc16938541"/>
      <w:bookmarkStart w:id="113" w:name="_Toc513029225"/>
      <w:r>
        <w:rPr>
          <w:rFonts w:hint="eastAsia"/>
          <w:b/>
          <w:bCs/>
          <w:sz w:val="28"/>
          <w:szCs w:val="28"/>
        </w:rPr>
        <w:t>18、投标文件的密封和标记</w:t>
      </w:r>
      <w:bookmarkEnd w:id="110"/>
      <w:bookmarkEnd w:id="111"/>
      <w:bookmarkEnd w:id="112"/>
      <w:bookmarkEnd w:id="113"/>
    </w:p>
    <w:p>
      <w:pPr>
        <w:pStyle w:val="30"/>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30"/>
        <w:rPr>
          <w:bCs/>
          <w:sz w:val="28"/>
          <w:szCs w:val="28"/>
        </w:rPr>
      </w:pPr>
      <w:r>
        <w:rPr>
          <w:rFonts w:hint="eastAsia"/>
          <w:sz w:val="28"/>
          <w:szCs w:val="28"/>
        </w:rPr>
        <w:t>18.2</w:t>
      </w:r>
      <w:r>
        <w:rPr>
          <w:rFonts w:hint="eastAsia"/>
          <w:bCs/>
          <w:sz w:val="28"/>
          <w:szCs w:val="28"/>
        </w:rPr>
        <w:t>密封的投标文件应：</w:t>
      </w:r>
    </w:p>
    <w:p>
      <w:pPr>
        <w:pStyle w:val="30"/>
        <w:rPr>
          <w:bCs/>
          <w:sz w:val="28"/>
          <w:szCs w:val="28"/>
        </w:rPr>
      </w:pPr>
      <w:r>
        <w:rPr>
          <w:rFonts w:hint="eastAsia"/>
          <w:bCs/>
          <w:sz w:val="28"/>
          <w:szCs w:val="28"/>
        </w:rPr>
        <w:t>（1）注明投标人名称，如因标注不清而产生的后果由投标人自负。</w:t>
      </w:r>
    </w:p>
    <w:p>
      <w:pPr>
        <w:pStyle w:val="30"/>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30"/>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30"/>
        <w:rPr>
          <w:b/>
          <w:bCs/>
          <w:sz w:val="28"/>
          <w:szCs w:val="28"/>
        </w:rPr>
      </w:pPr>
      <w:bookmarkStart w:id="114" w:name="_Toc513029226"/>
      <w:bookmarkStart w:id="115" w:name="_Toc20823298"/>
      <w:bookmarkStart w:id="116" w:name="_Toc16938542"/>
      <w:r>
        <w:rPr>
          <w:rFonts w:hint="eastAsia"/>
          <w:b/>
          <w:bCs/>
          <w:sz w:val="28"/>
          <w:szCs w:val="28"/>
        </w:rPr>
        <w:t>19、投标截止</w:t>
      </w:r>
      <w:bookmarkEnd w:id="114"/>
      <w:bookmarkEnd w:id="115"/>
      <w:bookmarkEnd w:id="116"/>
      <w:r>
        <w:rPr>
          <w:rFonts w:hint="eastAsia"/>
          <w:b/>
          <w:bCs/>
          <w:sz w:val="28"/>
          <w:szCs w:val="28"/>
        </w:rPr>
        <w:t>时间</w:t>
      </w:r>
    </w:p>
    <w:p>
      <w:pPr>
        <w:pStyle w:val="30"/>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30"/>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30"/>
        <w:rPr>
          <w:b/>
          <w:bCs/>
          <w:sz w:val="28"/>
          <w:szCs w:val="28"/>
        </w:rPr>
      </w:pPr>
      <w:bookmarkStart w:id="117" w:name="_Toc16938543"/>
      <w:bookmarkStart w:id="118" w:name="_Toc20823299"/>
      <w:bookmarkStart w:id="119" w:name="_Toc513029227"/>
      <w:r>
        <w:rPr>
          <w:rFonts w:hint="eastAsia"/>
          <w:b/>
          <w:bCs/>
          <w:sz w:val="28"/>
          <w:szCs w:val="28"/>
        </w:rPr>
        <w:t>20、投标文件</w:t>
      </w:r>
      <w:bookmarkEnd w:id="117"/>
      <w:bookmarkEnd w:id="118"/>
      <w:bookmarkEnd w:id="119"/>
      <w:r>
        <w:rPr>
          <w:rFonts w:hint="eastAsia"/>
          <w:b/>
          <w:bCs/>
          <w:sz w:val="28"/>
          <w:szCs w:val="28"/>
        </w:rPr>
        <w:t>的递交</w:t>
      </w:r>
    </w:p>
    <w:p>
      <w:pPr>
        <w:pStyle w:val="30"/>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30"/>
        <w:rPr>
          <w:bCs/>
          <w:sz w:val="28"/>
          <w:szCs w:val="28"/>
        </w:rPr>
      </w:pPr>
      <w:r>
        <w:rPr>
          <w:rFonts w:hint="eastAsia"/>
          <w:bCs/>
          <w:sz w:val="28"/>
          <w:szCs w:val="28"/>
        </w:rPr>
        <w:t>20.2未按照招标文件要求的格式编制的投标文件，后果由投标人承担。</w:t>
      </w:r>
    </w:p>
    <w:p>
      <w:pPr>
        <w:pStyle w:val="30"/>
        <w:rPr>
          <w:b/>
          <w:bCs/>
          <w:sz w:val="28"/>
          <w:szCs w:val="28"/>
        </w:rPr>
      </w:pPr>
      <w:bookmarkStart w:id="120" w:name="_Toc20823300"/>
      <w:bookmarkStart w:id="121" w:name="_Toc513029228"/>
      <w:bookmarkStart w:id="122" w:name="_Toc16938544"/>
      <w:r>
        <w:rPr>
          <w:rFonts w:hint="eastAsia"/>
          <w:b/>
          <w:bCs/>
          <w:sz w:val="28"/>
          <w:szCs w:val="28"/>
        </w:rPr>
        <w:t>21、投标文件的修改和撤回</w:t>
      </w:r>
      <w:bookmarkEnd w:id="120"/>
      <w:bookmarkEnd w:id="121"/>
      <w:bookmarkEnd w:id="122"/>
    </w:p>
    <w:p>
      <w:pPr>
        <w:pStyle w:val="30"/>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30"/>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30"/>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30"/>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30"/>
        <w:rPr>
          <w:b/>
          <w:sz w:val="28"/>
          <w:szCs w:val="28"/>
        </w:rPr>
      </w:pPr>
      <w:bookmarkStart w:id="123" w:name="_Toc20823301"/>
      <w:bookmarkStart w:id="124" w:name="_Toc120614218"/>
      <w:bookmarkStart w:id="125" w:name="_Toc513029229"/>
      <w:bookmarkStart w:id="126" w:name="_Toc517190886"/>
      <w:bookmarkStart w:id="127" w:name="_Toc16938545"/>
      <w:r>
        <w:rPr>
          <w:rFonts w:hint="eastAsia"/>
          <w:b/>
          <w:sz w:val="28"/>
          <w:szCs w:val="28"/>
        </w:rPr>
        <w:t>五、开标与评标</w:t>
      </w:r>
      <w:bookmarkEnd w:id="123"/>
      <w:bookmarkEnd w:id="124"/>
      <w:bookmarkEnd w:id="125"/>
      <w:bookmarkEnd w:id="126"/>
      <w:bookmarkEnd w:id="127"/>
    </w:p>
    <w:p>
      <w:pPr>
        <w:pStyle w:val="30"/>
        <w:rPr>
          <w:b/>
          <w:bCs/>
          <w:sz w:val="28"/>
          <w:szCs w:val="28"/>
        </w:rPr>
      </w:pPr>
      <w:bookmarkStart w:id="128" w:name="_Toc20823302"/>
      <w:bookmarkStart w:id="129" w:name="_Toc16938546"/>
      <w:bookmarkStart w:id="130" w:name="_Toc513029230"/>
      <w:r>
        <w:rPr>
          <w:rFonts w:hint="eastAsia"/>
          <w:b/>
          <w:bCs/>
          <w:sz w:val="28"/>
          <w:szCs w:val="28"/>
        </w:rPr>
        <w:t>22、开标</w:t>
      </w:r>
      <w:bookmarkEnd w:id="128"/>
      <w:bookmarkEnd w:id="129"/>
      <w:bookmarkEnd w:id="130"/>
    </w:p>
    <w:p>
      <w:pPr>
        <w:pStyle w:val="30"/>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30"/>
        <w:rPr>
          <w:bCs/>
          <w:sz w:val="28"/>
          <w:szCs w:val="28"/>
        </w:rPr>
      </w:pPr>
      <w:r>
        <w:rPr>
          <w:rFonts w:hint="eastAsia"/>
          <w:sz w:val="28"/>
          <w:szCs w:val="28"/>
        </w:rPr>
        <w:t>22.2</w:t>
      </w:r>
      <w:r>
        <w:rPr>
          <w:rFonts w:hint="eastAsia"/>
          <w:bCs/>
          <w:sz w:val="28"/>
          <w:szCs w:val="28"/>
        </w:rPr>
        <w:t>按照规定同意撤回的投标将不予开封。</w:t>
      </w:r>
    </w:p>
    <w:p>
      <w:pPr>
        <w:pStyle w:val="30"/>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30"/>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30"/>
        <w:rPr>
          <w:sz w:val="28"/>
          <w:szCs w:val="28"/>
        </w:rPr>
      </w:pPr>
      <w:r>
        <w:rPr>
          <w:sz w:val="28"/>
          <w:szCs w:val="28"/>
        </w:rPr>
        <w:t>2</w:t>
      </w:r>
      <w:r>
        <w:rPr>
          <w:rFonts w:hint="eastAsia"/>
          <w:sz w:val="28"/>
          <w:szCs w:val="28"/>
        </w:rPr>
        <w:t>2.5投标人在报价时不允许采用选择性报价，否则将被视为无效投标。</w:t>
      </w:r>
    </w:p>
    <w:p>
      <w:pPr>
        <w:pStyle w:val="30"/>
        <w:rPr>
          <w:bCs/>
          <w:sz w:val="28"/>
          <w:szCs w:val="28"/>
        </w:rPr>
      </w:pPr>
      <w:r>
        <w:rPr>
          <w:rFonts w:hint="eastAsia"/>
          <w:bCs/>
          <w:sz w:val="28"/>
          <w:szCs w:val="28"/>
        </w:rPr>
        <w:t>22.6投标截止时间结束后参加投标的供应商不足三家的，不得开标。</w:t>
      </w:r>
    </w:p>
    <w:p>
      <w:pPr>
        <w:pStyle w:val="30"/>
        <w:rPr>
          <w:b/>
          <w:bCs/>
          <w:sz w:val="28"/>
          <w:szCs w:val="28"/>
        </w:rPr>
      </w:pPr>
      <w:bookmarkStart w:id="131" w:name="_Toc16938547"/>
      <w:bookmarkStart w:id="132" w:name="_Toc20823303"/>
      <w:bookmarkStart w:id="133" w:name="_Toc513029231"/>
      <w:r>
        <w:rPr>
          <w:rFonts w:hint="eastAsia"/>
          <w:b/>
          <w:bCs/>
          <w:sz w:val="28"/>
          <w:szCs w:val="28"/>
        </w:rPr>
        <w:t>23、评标</w:t>
      </w:r>
    </w:p>
    <w:p>
      <w:pPr>
        <w:pStyle w:val="30"/>
        <w:rPr>
          <w:b/>
          <w:sz w:val="28"/>
          <w:szCs w:val="28"/>
        </w:rPr>
      </w:pPr>
      <w:r>
        <w:rPr>
          <w:rFonts w:hint="eastAsia"/>
          <w:sz w:val="28"/>
          <w:szCs w:val="28"/>
        </w:rPr>
        <w:t>23.1开标后，采购人将组织评标委员会（以下简称评委会）进行评标。</w:t>
      </w:r>
    </w:p>
    <w:p>
      <w:pPr>
        <w:pStyle w:val="30"/>
        <w:ind w:left="330" w:leftChars="150" w:firstLine="140" w:firstLineChars="50"/>
        <w:rPr>
          <w:sz w:val="28"/>
          <w:szCs w:val="28"/>
        </w:rPr>
      </w:pPr>
      <w:r>
        <w:rPr>
          <w:rFonts w:hint="eastAsia"/>
          <w:sz w:val="28"/>
          <w:szCs w:val="28"/>
        </w:rPr>
        <w:t>23.2评委会独立工作，负责评审所有投标文件并确定中标侯选人。</w:t>
      </w:r>
    </w:p>
    <w:p>
      <w:pPr>
        <w:pStyle w:val="30"/>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30"/>
        <w:rPr>
          <w:b/>
          <w:bCs/>
          <w:sz w:val="28"/>
          <w:szCs w:val="28"/>
        </w:rPr>
      </w:pPr>
      <w:bookmarkStart w:id="134" w:name="_Toc513029232"/>
      <w:bookmarkStart w:id="135" w:name="_Toc20823304"/>
      <w:bookmarkStart w:id="136" w:name="_Toc16938548"/>
      <w:r>
        <w:rPr>
          <w:rFonts w:hint="eastAsia"/>
          <w:b/>
          <w:bCs/>
          <w:sz w:val="28"/>
          <w:szCs w:val="28"/>
        </w:rPr>
        <w:t>24．投标的澄清</w:t>
      </w:r>
      <w:bookmarkEnd w:id="134"/>
      <w:bookmarkEnd w:id="135"/>
      <w:bookmarkEnd w:id="136"/>
    </w:p>
    <w:p>
      <w:pPr>
        <w:pStyle w:val="30"/>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30"/>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30"/>
        <w:rPr>
          <w:sz w:val="28"/>
          <w:szCs w:val="28"/>
        </w:rPr>
      </w:pPr>
      <w:r>
        <w:rPr>
          <w:rFonts w:hint="eastAsia"/>
          <w:sz w:val="28"/>
          <w:szCs w:val="28"/>
        </w:rPr>
        <w:t>24.3 接到评委会澄清要求的投标人如未按规定做出澄清，后果由投标人自行承担。</w:t>
      </w:r>
    </w:p>
    <w:p>
      <w:pPr>
        <w:pStyle w:val="30"/>
        <w:rPr>
          <w:b/>
          <w:bCs/>
          <w:sz w:val="28"/>
          <w:szCs w:val="28"/>
        </w:rPr>
      </w:pPr>
      <w:bookmarkStart w:id="137" w:name="_Toc20823306"/>
      <w:bookmarkStart w:id="138" w:name="_Toc16938550"/>
      <w:bookmarkStart w:id="139" w:name="_Toc513029234"/>
      <w:r>
        <w:rPr>
          <w:rFonts w:hint="eastAsia"/>
          <w:b/>
          <w:bCs/>
          <w:sz w:val="28"/>
          <w:szCs w:val="28"/>
        </w:rPr>
        <w:t>25、</w:t>
      </w:r>
      <w:bookmarkEnd w:id="137"/>
      <w:bookmarkEnd w:id="138"/>
      <w:bookmarkEnd w:id="139"/>
      <w:r>
        <w:rPr>
          <w:rFonts w:hint="eastAsia"/>
          <w:b/>
          <w:bCs/>
          <w:sz w:val="28"/>
          <w:szCs w:val="28"/>
        </w:rPr>
        <w:t>无效投标条款和废标条款</w:t>
      </w:r>
    </w:p>
    <w:p>
      <w:pPr>
        <w:pStyle w:val="30"/>
        <w:rPr>
          <w:bCs/>
          <w:sz w:val="28"/>
          <w:szCs w:val="28"/>
        </w:rPr>
      </w:pPr>
      <w:bookmarkStart w:id="140" w:name="_Toc20823307"/>
      <w:bookmarkStart w:id="141" w:name="_Toc16938551"/>
      <w:bookmarkStart w:id="142" w:name="_Toc513029235"/>
      <w:r>
        <w:rPr>
          <w:rFonts w:hint="eastAsia"/>
          <w:bCs/>
          <w:sz w:val="28"/>
          <w:szCs w:val="28"/>
        </w:rPr>
        <w:t>25.1无效投标条款</w:t>
      </w:r>
    </w:p>
    <w:p>
      <w:pPr>
        <w:pStyle w:val="30"/>
        <w:rPr>
          <w:bCs/>
          <w:sz w:val="28"/>
          <w:szCs w:val="28"/>
        </w:rPr>
      </w:pPr>
      <w:r>
        <w:rPr>
          <w:rFonts w:hint="eastAsia"/>
          <w:bCs/>
          <w:sz w:val="28"/>
          <w:szCs w:val="28"/>
        </w:rPr>
        <w:t>（1）未按要求交纳投标保证金的。</w:t>
      </w:r>
    </w:p>
    <w:p>
      <w:pPr>
        <w:pStyle w:val="30"/>
        <w:rPr>
          <w:bCs/>
          <w:sz w:val="28"/>
          <w:szCs w:val="28"/>
        </w:rPr>
      </w:pPr>
      <w:r>
        <w:rPr>
          <w:rFonts w:hint="eastAsia"/>
          <w:bCs/>
          <w:sz w:val="28"/>
          <w:szCs w:val="28"/>
        </w:rPr>
        <w:t>（2）未按照招标文件规定要求密封、签署、盖章的。</w:t>
      </w:r>
    </w:p>
    <w:p>
      <w:pPr>
        <w:pStyle w:val="30"/>
        <w:rPr>
          <w:bCs/>
          <w:sz w:val="28"/>
          <w:szCs w:val="28"/>
        </w:rPr>
      </w:pPr>
      <w:r>
        <w:rPr>
          <w:rFonts w:hint="eastAsia"/>
          <w:bCs/>
          <w:sz w:val="28"/>
          <w:szCs w:val="28"/>
        </w:rPr>
        <w:t>（3）投标人在报价时采用选择性报价的。</w:t>
      </w:r>
    </w:p>
    <w:p>
      <w:pPr>
        <w:pStyle w:val="30"/>
        <w:rPr>
          <w:bCs/>
          <w:sz w:val="28"/>
          <w:szCs w:val="28"/>
        </w:rPr>
      </w:pPr>
      <w:r>
        <w:rPr>
          <w:rFonts w:hint="eastAsia"/>
          <w:bCs/>
          <w:sz w:val="28"/>
          <w:szCs w:val="28"/>
        </w:rPr>
        <w:t>（4）投标人不具备招标文件中规定资格要求的。</w:t>
      </w:r>
    </w:p>
    <w:p>
      <w:pPr>
        <w:pStyle w:val="30"/>
        <w:rPr>
          <w:bCs/>
          <w:sz w:val="28"/>
          <w:szCs w:val="28"/>
        </w:rPr>
      </w:pPr>
      <w:r>
        <w:rPr>
          <w:rFonts w:hint="eastAsia"/>
          <w:bCs/>
          <w:sz w:val="28"/>
          <w:szCs w:val="28"/>
        </w:rPr>
        <w:t>（5）投标人的报价超过了采购预算或最高限价的。</w:t>
      </w:r>
    </w:p>
    <w:p>
      <w:pPr>
        <w:pStyle w:val="30"/>
        <w:rPr>
          <w:bCs/>
          <w:i/>
          <w:sz w:val="28"/>
          <w:szCs w:val="28"/>
          <w:u w:val="single"/>
        </w:rPr>
      </w:pPr>
      <w:r>
        <w:rPr>
          <w:rFonts w:hint="eastAsia"/>
          <w:bCs/>
          <w:sz w:val="28"/>
          <w:szCs w:val="28"/>
        </w:rPr>
        <w:t>（6）未通过符合性检查的。</w:t>
      </w:r>
    </w:p>
    <w:p>
      <w:pPr>
        <w:pStyle w:val="30"/>
        <w:rPr>
          <w:bCs/>
          <w:i/>
          <w:sz w:val="28"/>
          <w:szCs w:val="28"/>
          <w:u w:val="single"/>
        </w:rPr>
      </w:pPr>
      <w:r>
        <w:rPr>
          <w:rFonts w:hint="eastAsia"/>
          <w:bCs/>
          <w:sz w:val="28"/>
          <w:szCs w:val="28"/>
        </w:rPr>
        <w:t>（7）不符合招标文件中规定的其他实质性要求和条件的。</w:t>
      </w:r>
    </w:p>
    <w:p>
      <w:pPr>
        <w:pStyle w:val="30"/>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30"/>
        <w:rPr>
          <w:bCs/>
          <w:sz w:val="28"/>
          <w:szCs w:val="28"/>
        </w:rPr>
      </w:pPr>
      <w:r>
        <w:rPr>
          <w:rFonts w:hint="eastAsia"/>
          <w:bCs/>
          <w:sz w:val="28"/>
          <w:szCs w:val="28"/>
        </w:rPr>
        <w:t>（9）投标文件含有采购人不能接受的附加条件的。</w:t>
      </w:r>
    </w:p>
    <w:p>
      <w:pPr>
        <w:pStyle w:val="30"/>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rPr>
          <w:bCs/>
          <w:sz w:val="28"/>
          <w:szCs w:val="28"/>
        </w:rPr>
      </w:pPr>
      <w:r>
        <w:rPr>
          <w:rFonts w:hint="eastAsia"/>
          <w:bCs/>
          <w:sz w:val="28"/>
          <w:szCs w:val="28"/>
        </w:rPr>
        <w:t>（11）其他法律、法规及本招标文件规定的属无效投标的情形。</w:t>
      </w:r>
    </w:p>
    <w:p>
      <w:pPr>
        <w:pStyle w:val="30"/>
        <w:rPr>
          <w:bCs/>
          <w:sz w:val="28"/>
          <w:szCs w:val="28"/>
        </w:rPr>
      </w:pPr>
      <w:r>
        <w:rPr>
          <w:rFonts w:hint="eastAsia"/>
          <w:bCs/>
          <w:sz w:val="28"/>
          <w:szCs w:val="28"/>
        </w:rPr>
        <w:t>25.2废标条款：</w:t>
      </w:r>
    </w:p>
    <w:p>
      <w:pPr>
        <w:pStyle w:val="30"/>
        <w:rPr>
          <w:bCs/>
          <w:sz w:val="28"/>
          <w:szCs w:val="28"/>
        </w:rPr>
      </w:pPr>
      <w:r>
        <w:rPr>
          <w:rFonts w:hint="eastAsia"/>
          <w:bCs/>
          <w:sz w:val="28"/>
          <w:szCs w:val="28"/>
        </w:rPr>
        <w:t>（1）符合专业条件的供应商或者对招标文件作实质响应的供应商不足三家的。</w:t>
      </w:r>
    </w:p>
    <w:p>
      <w:pPr>
        <w:pStyle w:val="30"/>
        <w:rPr>
          <w:bCs/>
          <w:sz w:val="28"/>
          <w:szCs w:val="28"/>
        </w:rPr>
      </w:pPr>
      <w:r>
        <w:rPr>
          <w:rFonts w:hint="eastAsia"/>
          <w:bCs/>
          <w:sz w:val="28"/>
          <w:szCs w:val="28"/>
        </w:rPr>
        <w:t>（2）出现影响采购公正的违法、违规行为的。</w:t>
      </w:r>
    </w:p>
    <w:p>
      <w:pPr>
        <w:pStyle w:val="30"/>
        <w:rPr>
          <w:bCs/>
          <w:sz w:val="28"/>
          <w:szCs w:val="28"/>
        </w:rPr>
      </w:pPr>
      <w:r>
        <w:rPr>
          <w:rFonts w:hint="eastAsia"/>
          <w:bCs/>
          <w:sz w:val="28"/>
          <w:szCs w:val="28"/>
        </w:rPr>
        <w:t>（3）因重大变故，采购任务取消的。</w:t>
      </w:r>
    </w:p>
    <w:p>
      <w:pPr>
        <w:pStyle w:val="30"/>
        <w:rPr>
          <w:bCs/>
          <w:sz w:val="28"/>
          <w:szCs w:val="28"/>
        </w:rPr>
      </w:pPr>
      <w:r>
        <w:rPr>
          <w:rFonts w:hint="eastAsia"/>
          <w:bCs/>
          <w:sz w:val="28"/>
          <w:szCs w:val="28"/>
        </w:rPr>
        <w:t>（4）评标委员会认定招标文件存在歧义、重大缺陷导致评审工作无法进行的。</w:t>
      </w:r>
    </w:p>
    <w:p>
      <w:pPr>
        <w:pStyle w:val="30"/>
        <w:rPr>
          <w:b/>
          <w:sz w:val="28"/>
          <w:szCs w:val="28"/>
        </w:rPr>
      </w:pPr>
      <w:bookmarkStart w:id="143" w:name="_Toc517190887"/>
      <w:bookmarkStart w:id="144" w:name="_Toc120614219"/>
      <w:r>
        <w:rPr>
          <w:rFonts w:hint="eastAsia"/>
          <w:b/>
          <w:sz w:val="28"/>
          <w:szCs w:val="28"/>
        </w:rPr>
        <w:t>六、</w:t>
      </w:r>
      <w:bookmarkEnd w:id="140"/>
      <w:bookmarkEnd w:id="141"/>
      <w:bookmarkEnd w:id="142"/>
      <w:r>
        <w:rPr>
          <w:rFonts w:hint="eastAsia"/>
          <w:b/>
          <w:sz w:val="28"/>
          <w:szCs w:val="28"/>
        </w:rPr>
        <w:t>定标</w:t>
      </w:r>
      <w:bookmarkEnd w:id="143"/>
      <w:bookmarkEnd w:id="144"/>
    </w:p>
    <w:p>
      <w:pPr>
        <w:pStyle w:val="30"/>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30"/>
        <w:rPr>
          <w:bCs/>
          <w:sz w:val="28"/>
          <w:szCs w:val="28"/>
        </w:rPr>
      </w:pPr>
      <w:r>
        <w:rPr>
          <w:rFonts w:hint="eastAsia"/>
          <w:bCs/>
          <w:sz w:val="28"/>
          <w:szCs w:val="28"/>
        </w:rPr>
        <w:t>26.1评委会根据本招标文件规定评分办法与评分标准确定中标人；</w:t>
      </w:r>
    </w:p>
    <w:p>
      <w:pPr>
        <w:pStyle w:val="30"/>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30"/>
        <w:rPr>
          <w:sz w:val="28"/>
          <w:szCs w:val="28"/>
        </w:rPr>
      </w:pPr>
      <w:r>
        <w:rPr>
          <w:rFonts w:hint="eastAsia"/>
          <w:sz w:val="28"/>
          <w:szCs w:val="28"/>
        </w:rPr>
        <w:t>2</w:t>
      </w:r>
      <w:bookmarkStart w:id="148" w:name="OLE_LINK7"/>
      <w:bookmarkStart w:id="149" w:name="OLE_LINK5"/>
      <w:bookmarkStart w:id="150" w:name="OLE_LINK8"/>
      <w:bookmarkStart w:id="151" w:name="OLE_LINK3"/>
      <w:bookmarkStart w:id="152" w:name="OLE_LINK4"/>
      <w:bookmarkStart w:id="153" w:name="OLE_LINK6"/>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30"/>
        <w:rPr>
          <w:sz w:val="28"/>
          <w:szCs w:val="28"/>
        </w:rPr>
      </w:pPr>
      <w:r>
        <w:rPr>
          <w:rFonts w:hint="eastAsia"/>
          <w:sz w:val="28"/>
          <w:szCs w:val="28"/>
        </w:rPr>
        <w:t>（1）提供虚假材料谋取中标的；</w:t>
      </w:r>
    </w:p>
    <w:p>
      <w:pPr>
        <w:pStyle w:val="30"/>
        <w:rPr>
          <w:sz w:val="28"/>
          <w:szCs w:val="28"/>
        </w:rPr>
      </w:pPr>
      <w:r>
        <w:rPr>
          <w:rFonts w:hint="eastAsia"/>
          <w:sz w:val="28"/>
          <w:szCs w:val="28"/>
        </w:rPr>
        <w:t>（2）向采购人、评审专家行贿或者提供其他不正当利益的；</w:t>
      </w:r>
    </w:p>
    <w:p>
      <w:pPr>
        <w:pStyle w:val="30"/>
        <w:rPr>
          <w:sz w:val="28"/>
          <w:szCs w:val="28"/>
        </w:rPr>
      </w:pPr>
      <w:r>
        <w:rPr>
          <w:rFonts w:hint="eastAsia"/>
          <w:sz w:val="28"/>
          <w:szCs w:val="28"/>
        </w:rPr>
        <w:t>（3）恶意竞争，投标总报价明显低于其自身合理成本且又无法提供证明的；</w:t>
      </w:r>
    </w:p>
    <w:p>
      <w:pPr>
        <w:pStyle w:val="30"/>
        <w:rPr>
          <w:sz w:val="28"/>
          <w:szCs w:val="28"/>
        </w:rPr>
      </w:pPr>
      <w:r>
        <w:rPr>
          <w:rFonts w:hint="eastAsia"/>
          <w:sz w:val="28"/>
          <w:szCs w:val="28"/>
        </w:rPr>
        <w:t>（4）属于本文件规定的无效条件，但在评标过程中又未被评委会发现的；</w:t>
      </w:r>
    </w:p>
    <w:p>
      <w:pPr>
        <w:pStyle w:val="30"/>
        <w:rPr>
          <w:sz w:val="28"/>
          <w:szCs w:val="28"/>
        </w:rPr>
      </w:pPr>
      <w:r>
        <w:rPr>
          <w:rFonts w:hint="eastAsia"/>
          <w:sz w:val="28"/>
          <w:szCs w:val="28"/>
        </w:rPr>
        <w:t>（5）与采购人或者其他供应商恶意串通的；</w:t>
      </w:r>
    </w:p>
    <w:p>
      <w:pPr>
        <w:pStyle w:val="30"/>
        <w:rPr>
          <w:sz w:val="28"/>
          <w:szCs w:val="28"/>
        </w:rPr>
      </w:pPr>
      <w:r>
        <w:rPr>
          <w:rFonts w:hint="eastAsia"/>
          <w:sz w:val="28"/>
          <w:szCs w:val="28"/>
        </w:rPr>
        <w:t>（6）采取不正当手段诋毁、排挤其他供应商的；</w:t>
      </w:r>
    </w:p>
    <w:p>
      <w:pPr>
        <w:pStyle w:val="30"/>
        <w:rPr>
          <w:sz w:val="28"/>
          <w:szCs w:val="28"/>
        </w:rPr>
      </w:pPr>
      <w:r>
        <w:rPr>
          <w:rFonts w:hint="eastAsia"/>
          <w:sz w:val="28"/>
          <w:szCs w:val="28"/>
        </w:rPr>
        <w:t>（7）不符合法律、法规的规定的。</w:t>
      </w:r>
      <w:bookmarkStart w:id="154" w:name="_Toc200451960"/>
    </w:p>
    <w:p>
      <w:pPr>
        <w:pStyle w:val="30"/>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30"/>
        <w:rPr>
          <w:sz w:val="28"/>
          <w:szCs w:val="28"/>
        </w:rPr>
      </w:pPr>
      <w:r>
        <w:rPr>
          <w:rFonts w:hint="eastAsia"/>
          <w:sz w:val="28"/>
          <w:szCs w:val="28"/>
        </w:rPr>
        <w:t>（1）不同投标人的投标文件由同一单位或者个人编制；</w:t>
      </w:r>
    </w:p>
    <w:p>
      <w:pPr>
        <w:pStyle w:val="30"/>
        <w:rPr>
          <w:sz w:val="28"/>
          <w:szCs w:val="28"/>
        </w:rPr>
      </w:pPr>
      <w:r>
        <w:rPr>
          <w:rFonts w:hint="eastAsia"/>
          <w:sz w:val="28"/>
          <w:szCs w:val="28"/>
        </w:rPr>
        <w:t>（2）不同投标人委托同一单位或者个人办理投标事宜；</w:t>
      </w:r>
    </w:p>
    <w:p>
      <w:pPr>
        <w:pStyle w:val="30"/>
        <w:rPr>
          <w:sz w:val="28"/>
          <w:szCs w:val="28"/>
        </w:rPr>
      </w:pPr>
      <w:r>
        <w:rPr>
          <w:rFonts w:hint="eastAsia"/>
          <w:sz w:val="28"/>
          <w:szCs w:val="28"/>
        </w:rPr>
        <w:t>（3）不同投标人的投标文件载明的项目管理成员或者联系人员为同一人；</w:t>
      </w:r>
    </w:p>
    <w:p>
      <w:pPr>
        <w:pStyle w:val="30"/>
        <w:rPr>
          <w:sz w:val="28"/>
          <w:szCs w:val="28"/>
        </w:rPr>
      </w:pPr>
      <w:r>
        <w:rPr>
          <w:rFonts w:hint="eastAsia"/>
          <w:sz w:val="28"/>
          <w:szCs w:val="28"/>
        </w:rPr>
        <w:t>（4）不同投标人的投标文件异常一致或者投标报价呈规律性差异；</w:t>
      </w:r>
    </w:p>
    <w:p>
      <w:pPr>
        <w:pStyle w:val="30"/>
        <w:rPr>
          <w:sz w:val="28"/>
          <w:szCs w:val="28"/>
        </w:rPr>
      </w:pPr>
      <w:r>
        <w:rPr>
          <w:rFonts w:hint="eastAsia"/>
          <w:sz w:val="28"/>
          <w:szCs w:val="28"/>
        </w:rPr>
        <w:t>（5）不同投标人的投标文件相互混装；</w:t>
      </w:r>
    </w:p>
    <w:p>
      <w:pPr>
        <w:pStyle w:val="30"/>
        <w:rPr>
          <w:sz w:val="28"/>
          <w:szCs w:val="28"/>
        </w:rPr>
      </w:pPr>
      <w:r>
        <w:rPr>
          <w:rFonts w:hint="eastAsia"/>
          <w:sz w:val="28"/>
          <w:szCs w:val="28"/>
        </w:rPr>
        <w:t>（6）不同投标人的投标保证金从同一单位或者个人的账户转出。</w:t>
      </w:r>
    </w:p>
    <w:p>
      <w:pPr>
        <w:pStyle w:val="30"/>
        <w:rPr>
          <w:b/>
          <w:sz w:val="28"/>
          <w:szCs w:val="28"/>
        </w:rPr>
      </w:pPr>
      <w:r>
        <w:rPr>
          <w:rFonts w:hint="eastAsia"/>
          <w:b/>
          <w:sz w:val="28"/>
          <w:szCs w:val="28"/>
        </w:rPr>
        <w:t>27、质疑处理</w:t>
      </w:r>
      <w:bookmarkEnd w:id="154"/>
    </w:p>
    <w:p>
      <w:pPr>
        <w:pStyle w:val="30"/>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30"/>
        <w:rPr>
          <w:b/>
          <w:sz w:val="28"/>
          <w:szCs w:val="28"/>
        </w:rPr>
      </w:pPr>
      <w:r>
        <w:rPr>
          <w:rFonts w:hint="eastAsia"/>
          <w:b/>
          <w:sz w:val="28"/>
          <w:szCs w:val="28"/>
        </w:rPr>
        <w:t>28、中标通知书</w:t>
      </w:r>
    </w:p>
    <w:p>
      <w:pPr>
        <w:pStyle w:val="30"/>
        <w:rPr>
          <w:sz w:val="28"/>
          <w:szCs w:val="28"/>
        </w:rPr>
      </w:pPr>
      <w:r>
        <w:rPr>
          <w:rFonts w:hint="eastAsia"/>
          <w:sz w:val="28"/>
          <w:szCs w:val="28"/>
        </w:rPr>
        <w:t>28.1中标结果确定后，采购人将向中标供应商发出中标通知书。</w:t>
      </w:r>
    </w:p>
    <w:p>
      <w:pPr>
        <w:pStyle w:val="30"/>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30"/>
        <w:rPr>
          <w:b/>
          <w:sz w:val="28"/>
          <w:szCs w:val="28"/>
        </w:rPr>
      </w:pPr>
      <w:bookmarkStart w:id="155" w:name="_Toc120614220"/>
      <w:bookmarkStart w:id="156" w:name="_Toc517190888"/>
      <w:bookmarkStart w:id="157" w:name="_Toc20823308"/>
      <w:bookmarkStart w:id="158" w:name="_Toc16938552"/>
      <w:bookmarkStart w:id="159" w:name="_Toc513029236"/>
      <w:r>
        <w:rPr>
          <w:rFonts w:hint="eastAsia"/>
          <w:b/>
          <w:sz w:val="28"/>
          <w:szCs w:val="28"/>
        </w:rPr>
        <w:t>七、授予合同</w:t>
      </w:r>
      <w:bookmarkEnd w:id="155"/>
      <w:bookmarkEnd w:id="156"/>
    </w:p>
    <w:bookmarkEnd w:id="157"/>
    <w:bookmarkEnd w:id="158"/>
    <w:bookmarkEnd w:id="159"/>
    <w:p>
      <w:pPr>
        <w:pStyle w:val="30"/>
        <w:rPr>
          <w:b/>
          <w:sz w:val="28"/>
          <w:szCs w:val="28"/>
        </w:rPr>
      </w:pPr>
      <w:bookmarkStart w:id="160" w:name="_Toc513029237"/>
      <w:bookmarkStart w:id="161" w:name="_Toc16938553"/>
      <w:bookmarkStart w:id="162" w:name="_Toc20823309"/>
      <w:r>
        <w:rPr>
          <w:rFonts w:hint="eastAsia"/>
          <w:b/>
          <w:sz w:val="28"/>
          <w:szCs w:val="28"/>
        </w:rPr>
        <w:t>29. 签订合同</w:t>
      </w:r>
    </w:p>
    <w:p>
      <w:pPr>
        <w:pStyle w:val="30"/>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30"/>
        <w:rPr>
          <w:sz w:val="28"/>
          <w:szCs w:val="28"/>
        </w:rPr>
      </w:pPr>
      <w:r>
        <w:rPr>
          <w:rFonts w:hint="eastAsia"/>
          <w:sz w:val="28"/>
          <w:szCs w:val="28"/>
        </w:rPr>
        <w:t>29.2招标文件、中标人的投标文件及招标过程中有关澄清、承诺文件均应作为合同附件。</w:t>
      </w:r>
    </w:p>
    <w:p>
      <w:pPr>
        <w:pStyle w:val="30"/>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30"/>
        <w:rPr>
          <w:b/>
          <w:sz w:val="28"/>
          <w:szCs w:val="28"/>
        </w:rPr>
      </w:pPr>
      <w:bookmarkStart w:id="163" w:name="_Toc517190889"/>
      <w:r>
        <w:rPr>
          <w:rFonts w:hint="eastAsia"/>
          <w:b/>
          <w:sz w:val="28"/>
          <w:szCs w:val="28"/>
        </w:rPr>
        <w:t>八、其他</w:t>
      </w:r>
      <w:bookmarkEnd w:id="163"/>
    </w:p>
    <w:p>
      <w:pPr>
        <w:pStyle w:val="30"/>
        <w:rPr>
          <w:b/>
          <w:sz w:val="28"/>
          <w:szCs w:val="28"/>
        </w:rPr>
      </w:pPr>
      <w:r>
        <w:rPr>
          <w:rFonts w:hint="eastAsia"/>
          <w:b/>
          <w:sz w:val="28"/>
          <w:szCs w:val="28"/>
        </w:rPr>
        <w:t>30、样品</w:t>
      </w:r>
    </w:p>
    <w:p>
      <w:pPr>
        <w:pStyle w:val="30"/>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30"/>
        <w:rPr>
          <w:sz w:val="28"/>
          <w:szCs w:val="28"/>
        </w:rPr>
      </w:pPr>
      <w:r>
        <w:rPr>
          <w:rFonts w:hint="eastAsia"/>
          <w:bCs/>
          <w:sz w:val="28"/>
          <w:szCs w:val="28"/>
        </w:rPr>
        <w:t>未中标人自通知之日起一个月内未撤回样品，采购人可自行处理，后果自负。</w:t>
      </w: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keepNext/>
        <w:keepLines/>
        <w:spacing w:before="120" w:beforeLines="50" w:line="440" w:lineRule="exact"/>
        <w:outlineLvl w:val="1"/>
        <w:rPr>
          <w:rFonts w:ascii="微软雅黑" w:hAnsi="微软雅黑" w:cs="微软雅黑"/>
          <w:bCs/>
          <w:sz w:val="28"/>
          <w:szCs w:val="28"/>
        </w:rPr>
      </w:pPr>
      <w:bookmarkStart w:id="165" w:name="_Toc3158"/>
      <w:bookmarkStart w:id="166" w:name="_Toc523931348"/>
      <w:bookmarkStart w:id="167" w:name="_Toc401414769"/>
      <w:r>
        <w:rPr>
          <w:rFonts w:hint="eastAsia" w:ascii="微软雅黑" w:hAnsi="微软雅黑" w:cs="微软雅黑"/>
          <w:bCs/>
          <w:sz w:val="28"/>
          <w:szCs w:val="28"/>
        </w:rPr>
        <w:t>一、项目背景</w:t>
      </w:r>
      <w:bookmarkEnd w:id="165"/>
    </w:p>
    <w:p>
      <w:pPr>
        <w:spacing w:line="440" w:lineRule="exact"/>
        <w:ind w:firstLine="440" w:firstLineChars="200"/>
        <w:rPr>
          <w:rFonts w:ascii="微软雅黑" w:hAnsi="微软雅黑" w:cs="微软雅黑"/>
          <w:color w:val="000000"/>
          <w:szCs w:val="21"/>
        </w:rPr>
      </w:pPr>
      <w:r>
        <w:rPr>
          <w:rFonts w:hint="eastAsia" w:ascii="微软雅黑" w:hAnsi="微软雅黑" w:cs="微软雅黑"/>
          <w:color w:val="000000"/>
          <w:szCs w:val="21"/>
        </w:rPr>
        <w:t>本项目建设南京医科大学五台校区综合楼学生公寓通行道闸，并与学校现有管理系统互联互通，实现多介质通行核验，根据特定规则进行各类人员通行管控，实现住宿人员精细化管理。</w:t>
      </w:r>
    </w:p>
    <w:p>
      <w:pPr>
        <w:keepNext/>
        <w:keepLines/>
        <w:spacing w:before="120" w:beforeLines="50" w:line="440" w:lineRule="exact"/>
        <w:outlineLvl w:val="1"/>
        <w:rPr>
          <w:rFonts w:ascii="微软雅黑" w:hAnsi="微软雅黑" w:cs="微软雅黑"/>
          <w:bCs/>
          <w:sz w:val="28"/>
          <w:szCs w:val="28"/>
        </w:rPr>
      </w:pPr>
      <w:bookmarkStart w:id="168" w:name="_Toc16973"/>
      <w:r>
        <w:rPr>
          <w:rFonts w:hint="eastAsia" w:ascii="微软雅黑" w:hAnsi="微软雅黑" w:cs="微软雅黑"/>
          <w:bCs/>
          <w:sz w:val="28"/>
          <w:szCs w:val="28"/>
        </w:rPr>
        <w:t>二、采购清单</w:t>
      </w:r>
      <w:bookmarkEnd w:id="168"/>
    </w:p>
    <w:tbl>
      <w:tblPr>
        <w:tblStyle w:val="21"/>
        <w:tblW w:w="8251" w:type="dxa"/>
        <w:tblInd w:w="-34" w:type="dxa"/>
        <w:tblLayout w:type="autofit"/>
        <w:tblCellMar>
          <w:top w:w="0" w:type="dxa"/>
          <w:left w:w="108" w:type="dxa"/>
          <w:bottom w:w="0" w:type="dxa"/>
          <w:right w:w="108" w:type="dxa"/>
        </w:tblCellMar>
      </w:tblPr>
      <w:tblGrid>
        <w:gridCol w:w="1191"/>
        <w:gridCol w:w="3374"/>
        <w:gridCol w:w="1560"/>
        <w:gridCol w:w="2126"/>
      </w:tblGrid>
      <w:tr>
        <w:tblPrEx>
          <w:tblCellMar>
            <w:top w:w="0" w:type="dxa"/>
            <w:left w:w="108" w:type="dxa"/>
            <w:bottom w:w="0" w:type="dxa"/>
            <w:right w:w="108" w:type="dxa"/>
          </w:tblCellMar>
        </w:tblPrEx>
        <w:trPr>
          <w:trHeight w:val="315" w:hRule="atLeast"/>
        </w:trPr>
        <w:tc>
          <w:tcPr>
            <w:tcW w:w="11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序号</w:t>
            </w:r>
          </w:p>
        </w:tc>
        <w:tc>
          <w:tcPr>
            <w:tcW w:w="337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名称</w:t>
            </w:r>
          </w:p>
        </w:tc>
        <w:tc>
          <w:tcPr>
            <w:tcW w:w="15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数量</w:t>
            </w:r>
          </w:p>
        </w:tc>
        <w:tc>
          <w:tcPr>
            <w:tcW w:w="212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单位</w:t>
            </w:r>
          </w:p>
        </w:tc>
      </w:tr>
      <w:tr>
        <w:tblPrEx>
          <w:tblCellMar>
            <w:top w:w="0" w:type="dxa"/>
            <w:left w:w="108" w:type="dxa"/>
            <w:bottom w:w="0" w:type="dxa"/>
            <w:right w:w="108" w:type="dxa"/>
          </w:tblCellMar>
        </w:tblPrEx>
        <w:trPr>
          <w:trHeight w:val="315" w:hRule="atLeast"/>
        </w:trPr>
        <w:tc>
          <w:tcPr>
            <w:tcW w:w="456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rPr>
                <w:rFonts w:ascii="宋体" w:hAnsi="宋体" w:cs="宋体"/>
                <w:b/>
                <w:bCs/>
                <w:color w:val="000000"/>
              </w:rPr>
            </w:pPr>
            <w:r>
              <w:rPr>
                <w:rFonts w:hint="eastAsia" w:ascii="宋体" w:hAnsi="宋体" w:cs="宋体"/>
                <w:b/>
                <w:bCs/>
                <w:color w:val="000000"/>
              </w:rPr>
              <w:t>一、室内通道系统</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　</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　</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翼闸单机芯</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2</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2</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翼闸双机芯</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2</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3</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通道控制器</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3</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套</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4</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摄像机</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2</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5</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二合一读卡器</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6</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6</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二维码读头</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6</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7</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人脸识别终端</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6</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8</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人脸识别终端支架</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6</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nil"/>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9</w:t>
            </w:r>
          </w:p>
        </w:tc>
        <w:tc>
          <w:tcPr>
            <w:tcW w:w="3374" w:type="dxa"/>
            <w:tcBorders>
              <w:top w:val="nil"/>
              <w:left w:val="nil"/>
              <w:bottom w:val="nil"/>
              <w:right w:val="single" w:color="auto" w:sz="4" w:space="0"/>
            </w:tcBorders>
            <w:shd w:val="clear" w:color="000000" w:fill="FFFFFF"/>
            <w:vAlign w:val="center"/>
          </w:tcPr>
          <w:p>
            <w:pPr>
              <w:jc w:val="center"/>
              <w:rPr>
                <w:rFonts w:ascii="宋体" w:hAnsi="宋体" w:cs="宋体"/>
                <w:color w:val="000000"/>
              </w:rPr>
            </w:pPr>
            <w:r>
              <w:rPr>
                <w:rFonts w:hint="eastAsia"/>
              </w:rPr>
              <w:t>电脑</w:t>
            </w:r>
          </w:p>
        </w:tc>
        <w:tc>
          <w:tcPr>
            <w:tcW w:w="1560" w:type="dxa"/>
            <w:tcBorders>
              <w:top w:val="nil"/>
              <w:left w:val="nil"/>
              <w:bottom w:val="nil"/>
              <w:right w:val="single" w:color="auto" w:sz="4" w:space="0"/>
            </w:tcBorders>
            <w:shd w:val="clear" w:color="000000" w:fill="FFFFFF"/>
            <w:vAlign w:val="center"/>
          </w:tcPr>
          <w:p>
            <w:pPr>
              <w:jc w:val="center"/>
              <w:rPr>
                <w:rFonts w:ascii="宋体" w:hAnsi="宋体" w:cs="宋体"/>
                <w:color w:val="000000"/>
              </w:rPr>
            </w:pPr>
            <w:r>
              <w:rPr>
                <w:rFonts w:hint="eastAsia"/>
              </w:rPr>
              <w:t>1</w:t>
            </w:r>
          </w:p>
        </w:tc>
        <w:tc>
          <w:tcPr>
            <w:tcW w:w="2126" w:type="dxa"/>
            <w:tcBorders>
              <w:top w:val="nil"/>
              <w:left w:val="nil"/>
              <w:bottom w:val="nil"/>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10</w:t>
            </w:r>
          </w:p>
        </w:tc>
        <w:tc>
          <w:tcPr>
            <w:tcW w:w="337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显示器</w:t>
            </w:r>
          </w:p>
        </w:tc>
        <w:tc>
          <w:tcPr>
            <w:tcW w:w="15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1</w:t>
            </w:r>
          </w:p>
        </w:tc>
        <w:tc>
          <w:tcPr>
            <w:tcW w:w="212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11</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网线</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1</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箱</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12</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电源线</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100</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米</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13</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交换机</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1</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14</w:t>
            </w:r>
          </w:p>
        </w:tc>
        <w:tc>
          <w:tcPr>
            <w:tcW w:w="337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不锈钢护栏</w:t>
            </w:r>
          </w:p>
        </w:tc>
        <w:tc>
          <w:tcPr>
            <w:tcW w:w="15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30</w:t>
            </w:r>
          </w:p>
        </w:tc>
        <w:tc>
          <w:tcPr>
            <w:tcW w:w="212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平方</w:t>
            </w:r>
          </w:p>
        </w:tc>
      </w:tr>
      <w:tr>
        <w:tblPrEx>
          <w:tblCellMar>
            <w:top w:w="0" w:type="dxa"/>
            <w:left w:w="108" w:type="dxa"/>
            <w:bottom w:w="0" w:type="dxa"/>
            <w:right w:w="108" w:type="dxa"/>
          </w:tblCellMar>
        </w:tblPrEx>
        <w:trPr>
          <w:trHeight w:val="319" w:hRule="atLeast"/>
        </w:trPr>
        <w:tc>
          <w:tcPr>
            <w:tcW w:w="11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5</w:t>
            </w:r>
          </w:p>
        </w:tc>
        <w:tc>
          <w:tcPr>
            <w:tcW w:w="3374" w:type="dxa"/>
            <w:tcBorders>
              <w:top w:val="single" w:color="auto" w:sz="4" w:space="0"/>
              <w:left w:val="nil"/>
              <w:bottom w:val="single" w:color="auto" w:sz="4" w:space="0"/>
              <w:right w:val="single" w:color="auto" w:sz="4" w:space="0"/>
            </w:tcBorders>
            <w:shd w:val="clear" w:color="000000" w:fill="FFFFFF"/>
            <w:vAlign w:val="center"/>
          </w:tcPr>
          <w:p>
            <w:pPr>
              <w:jc w:val="center"/>
            </w:pPr>
            <w:r>
              <w:rPr>
                <w:rFonts w:hint="eastAsia"/>
              </w:rPr>
              <w:t>安装调试费</w:t>
            </w:r>
          </w:p>
        </w:tc>
        <w:tc>
          <w:tcPr>
            <w:tcW w:w="1560" w:type="dxa"/>
            <w:tcBorders>
              <w:top w:val="single" w:color="auto" w:sz="4" w:space="0"/>
              <w:left w:val="nil"/>
              <w:bottom w:val="single" w:color="auto" w:sz="4" w:space="0"/>
              <w:right w:val="single" w:color="auto" w:sz="4" w:space="0"/>
            </w:tcBorders>
            <w:shd w:val="clear" w:color="000000" w:fill="FFFFFF"/>
            <w:vAlign w:val="center"/>
          </w:tcPr>
          <w:p>
            <w:pPr>
              <w:jc w:val="center"/>
            </w:pPr>
            <w:r>
              <w:rPr>
                <w:rFonts w:hint="eastAsia"/>
              </w:rPr>
              <w:t>1</w:t>
            </w:r>
          </w:p>
        </w:tc>
        <w:tc>
          <w:tcPr>
            <w:tcW w:w="2126"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 w:val="20"/>
                <w:szCs w:val="20"/>
              </w:rPr>
            </w:pPr>
            <w:r>
              <w:rPr>
                <w:rFonts w:hint="eastAsia"/>
                <w:color w:val="000000"/>
                <w:sz w:val="20"/>
                <w:szCs w:val="20"/>
              </w:rPr>
              <w:t>项</w:t>
            </w:r>
          </w:p>
        </w:tc>
      </w:tr>
    </w:tbl>
    <w:p>
      <w:pPr>
        <w:pStyle w:val="11"/>
        <w:ind w:left="0" w:leftChars="0"/>
      </w:pPr>
    </w:p>
    <w:p>
      <w:pPr>
        <w:keepNext/>
        <w:keepLines/>
        <w:spacing w:before="120" w:beforeLines="50" w:line="440" w:lineRule="exact"/>
        <w:outlineLvl w:val="1"/>
        <w:rPr>
          <w:rFonts w:ascii="微软雅黑" w:hAnsi="微软雅黑" w:cs="微软雅黑"/>
          <w:bCs/>
          <w:sz w:val="28"/>
          <w:szCs w:val="28"/>
        </w:rPr>
      </w:pPr>
      <w:r>
        <w:rPr>
          <w:rFonts w:hint="eastAsia"/>
          <w:b/>
          <w:bCs/>
        </w:rPr>
        <w:br w:type="page"/>
      </w:r>
      <w:r>
        <w:rPr>
          <w:rFonts w:hint="eastAsia" w:ascii="微软雅黑" w:hAnsi="微软雅黑" w:cs="微软雅黑"/>
          <w:b/>
          <w:bCs/>
          <w:sz w:val="28"/>
          <w:szCs w:val="28"/>
        </w:rPr>
        <w:t xml:space="preserve"> </w:t>
      </w:r>
      <w:bookmarkStart w:id="169" w:name="_Toc26047"/>
      <w:r>
        <w:rPr>
          <w:rFonts w:hint="eastAsia" w:ascii="微软雅黑" w:hAnsi="微软雅黑" w:cs="微软雅黑"/>
          <w:bCs/>
          <w:sz w:val="28"/>
          <w:szCs w:val="28"/>
        </w:rPr>
        <w:t>三、技术参数要求</w:t>
      </w:r>
      <w:bookmarkEnd w:id="169"/>
      <w:bookmarkStart w:id="170" w:name="_Toc18332"/>
    </w:p>
    <w:p>
      <w:pPr>
        <w:pStyle w:val="57"/>
        <w:numPr>
          <w:ilvl w:val="0"/>
          <w:numId w:val="0"/>
        </w:numPr>
        <w:rPr>
          <w:rFonts w:ascii="仿宋" w:hAnsi="仿宋" w:eastAsia="仿宋" w:cs="仿宋"/>
        </w:rPr>
      </w:pPr>
      <w:r>
        <w:rPr>
          <w:rFonts w:ascii="仿宋" w:hAnsi="仿宋" w:eastAsia="仿宋" w:cs="仿宋"/>
        </w:rPr>
        <w:t>3</w:t>
      </w:r>
      <w:r>
        <w:rPr>
          <w:rFonts w:hint="eastAsia" w:ascii="仿宋" w:hAnsi="仿宋" w:eastAsia="仿宋" w:cs="仿宋"/>
        </w:rPr>
        <w:t>.</w:t>
      </w:r>
      <w:r>
        <w:rPr>
          <w:rFonts w:ascii="仿宋" w:hAnsi="仿宋" w:eastAsia="仿宋" w:cs="仿宋"/>
        </w:rPr>
        <w:t>1</w:t>
      </w:r>
      <w:r>
        <w:rPr>
          <w:rFonts w:hint="eastAsia" w:ascii="仿宋" w:hAnsi="仿宋" w:eastAsia="仿宋" w:cs="仿宋"/>
        </w:rPr>
        <w:t xml:space="preserve"> </w:t>
      </w:r>
      <w:bookmarkEnd w:id="170"/>
      <w:r>
        <w:rPr>
          <w:rFonts w:hint="eastAsia" w:ascii="仿宋" w:hAnsi="仿宋" w:eastAsia="仿宋" w:cs="仿宋"/>
        </w:rPr>
        <w:t>对接要求</w:t>
      </w:r>
    </w:p>
    <w:p>
      <w:pPr>
        <w:rPr>
          <w:rFonts w:ascii="微软雅黑" w:hAnsi="微软雅黑" w:cs="微软雅黑"/>
          <w:color w:val="000000"/>
          <w:szCs w:val="21"/>
          <w:lang w:bidi="ar"/>
        </w:rPr>
      </w:pPr>
      <w:r>
        <w:rPr>
          <w:rFonts w:hint="eastAsia" w:ascii="微软雅黑" w:hAnsi="微软雅黑" w:cs="宋体"/>
          <w:szCs w:val="21"/>
        </w:rPr>
        <w:t>★</w:t>
      </w:r>
      <w:r>
        <w:rPr>
          <w:rFonts w:hint="eastAsia" w:ascii="微软雅黑" w:hAnsi="微软雅黑" w:cs="微软雅黑"/>
          <w:color w:val="000000"/>
          <w:szCs w:val="21"/>
          <w:lang w:bidi="ar"/>
        </w:rPr>
        <w:t xml:space="preserve">无缝对接学校现有校园出入化管理平台，并提供对接承诺函，加盖投标人公章。 </w:t>
      </w:r>
    </w:p>
    <w:p/>
    <w:p>
      <w:pPr>
        <w:pStyle w:val="57"/>
        <w:numPr>
          <w:ilvl w:val="0"/>
          <w:numId w:val="0"/>
        </w:numPr>
        <w:rPr>
          <w:rFonts w:ascii="微软雅黑" w:hAnsi="微软雅黑" w:cs="微软雅黑"/>
          <w:b w:val="0"/>
          <w:bCs w:val="0"/>
          <w:sz w:val="21"/>
          <w:szCs w:val="21"/>
        </w:rPr>
      </w:pPr>
      <w:r>
        <w:rPr>
          <w:rFonts w:hint="eastAsia" w:ascii="微软雅黑" w:hAnsi="微软雅黑" w:cs="微软雅黑"/>
          <w:b w:val="0"/>
          <w:bCs w:val="0"/>
          <w:sz w:val="21"/>
          <w:szCs w:val="21"/>
        </w:rPr>
        <w:br w:type="page"/>
      </w:r>
      <w:bookmarkStart w:id="171" w:name="_Toc28886"/>
      <w:r>
        <w:rPr>
          <w:rFonts w:ascii="仿宋" w:hAnsi="仿宋" w:eastAsia="仿宋" w:cs="仿宋"/>
        </w:rPr>
        <w:t>3</w:t>
      </w:r>
      <w:r>
        <w:rPr>
          <w:rFonts w:hint="eastAsia" w:ascii="仿宋" w:hAnsi="仿宋" w:eastAsia="仿宋" w:cs="仿宋"/>
        </w:rPr>
        <w:t>.</w:t>
      </w:r>
      <w:r>
        <w:rPr>
          <w:rFonts w:ascii="仿宋" w:hAnsi="仿宋" w:eastAsia="仿宋" w:cs="仿宋"/>
        </w:rPr>
        <w:t>2</w:t>
      </w:r>
      <w:r>
        <w:rPr>
          <w:rFonts w:hint="eastAsia" w:ascii="仿宋" w:hAnsi="仿宋" w:eastAsia="仿宋" w:cs="仿宋"/>
        </w:rPr>
        <w:t xml:space="preserve"> 硬件</w:t>
      </w:r>
      <w:bookmarkEnd w:id="171"/>
    </w:p>
    <w:tbl>
      <w:tblPr>
        <w:tblStyle w:val="21"/>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03" w:type="dxa"/>
            <w:vAlign w:val="center"/>
          </w:tcPr>
          <w:p>
            <w:pPr>
              <w:spacing w:line="440" w:lineRule="exact"/>
              <w:jc w:val="center"/>
              <w:textAlignment w:val="center"/>
              <w:rPr>
                <w:rFonts w:ascii="微软雅黑" w:hAnsi="微软雅黑" w:cs="微软雅黑"/>
                <w:szCs w:val="21"/>
              </w:rPr>
            </w:pPr>
            <w:r>
              <w:rPr>
                <w:rFonts w:hint="eastAsia" w:ascii="微软雅黑" w:hAnsi="微软雅黑" w:cs="微软雅黑"/>
                <w:szCs w:val="21"/>
              </w:rPr>
              <w:t>名称</w:t>
            </w:r>
          </w:p>
        </w:tc>
        <w:tc>
          <w:tcPr>
            <w:tcW w:w="7782" w:type="dxa"/>
            <w:vAlign w:val="center"/>
          </w:tcPr>
          <w:p>
            <w:pPr>
              <w:spacing w:line="430" w:lineRule="exact"/>
              <w:jc w:val="center"/>
              <w:textAlignment w:val="center"/>
              <w:rPr>
                <w:rFonts w:ascii="微软雅黑" w:hAnsi="微软雅黑" w:cs="微软雅黑"/>
                <w:szCs w:val="21"/>
              </w:rPr>
            </w:pPr>
            <w:r>
              <w:rPr>
                <w:rFonts w:hint="eastAsia" w:ascii="微软雅黑" w:hAnsi="微软雅黑" w:cs="微软雅黑"/>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3" w:type="dxa"/>
            <w:vAlign w:val="center"/>
          </w:tcPr>
          <w:p>
            <w:pPr>
              <w:spacing w:after="0"/>
              <w:jc w:val="center"/>
              <w:textAlignment w:val="center"/>
              <w:rPr>
                <w:rFonts w:ascii="微软雅黑" w:hAnsi="微软雅黑" w:cs="宋体"/>
                <w:szCs w:val="21"/>
              </w:rPr>
            </w:pPr>
            <w:r>
              <w:rPr>
                <w:rFonts w:hint="eastAsia" w:ascii="微软雅黑" w:hAnsi="微软雅黑" w:cs="宋体"/>
                <w:szCs w:val="21"/>
              </w:rPr>
              <w:t>人脸识别</w:t>
            </w:r>
          </w:p>
          <w:p>
            <w:pPr>
              <w:spacing w:after="0"/>
              <w:jc w:val="center"/>
              <w:textAlignment w:val="center"/>
              <w:rPr>
                <w:rFonts w:ascii="微软雅黑" w:hAnsi="微软雅黑" w:cs="微软雅黑"/>
                <w:szCs w:val="21"/>
              </w:rPr>
            </w:pPr>
            <w:r>
              <w:rPr>
                <w:rFonts w:hint="eastAsia" w:ascii="微软雅黑" w:hAnsi="微软雅黑" w:cs="宋体"/>
                <w:szCs w:val="21"/>
              </w:rPr>
              <w:t>一体机</w:t>
            </w:r>
          </w:p>
        </w:tc>
        <w:tc>
          <w:tcPr>
            <w:tcW w:w="7782" w:type="dxa"/>
            <w:vAlign w:val="center"/>
          </w:tcPr>
          <w:p>
            <w:pPr>
              <w:spacing w:after="0"/>
              <w:rPr>
                <w:rFonts w:ascii="微软雅黑" w:hAnsi="微软雅黑" w:cs="宋体"/>
                <w:szCs w:val="21"/>
              </w:rPr>
            </w:pPr>
            <w:r>
              <w:rPr>
                <w:rFonts w:hint="eastAsia" w:ascii="微软雅黑" w:hAnsi="微软雅黑" w:cs="宋体"/>
                <w:szCs w:val="21"/>
              </w:rPr>
              <w:t>1、 显示屏：7寸电容触摸屏，分辨率不应低于600*1024。</w:t>
            </w:r>
          </w:p>
          <w:p>
            <w:pPr>
              <w:spacing w:after="0"/>
              <w:rPr>
                <w:rFonts w:ascii="微软雅黑" w:hAnsi="微软雅黑" w:cs="宋体"/>
                <w:szCs w:val="21"/>
              </w:rPr>
            </w:pPr>
            <w:r>
              <w:rPr>
                <w:rFonts w:hint="eastAsia" w:ascii="微软雅黑" w:hAnsi="微软雅黑" w:cs="宋体"/>
                <w:szCs w:val="21"/>
              </w:rPr>
              <w:t>2、RAM不应低于512M，ROM不应低于8G。</w:t>
            </w:r>
          </w:p>
          <w:p>
            <w:pPr>
              <w:spacing w:after="0"/>
              <w:rPr>
                <w:rFonts w:ascii="微软雅黑" w:hAnsi="微软雅黑" w:cs="宋体"/>
                <w:szCs w:val="21"/>
              </w:rPr>
            </w:pPr>
            <w:r>
              <w:rPr>
                <w:rFonts w:hint="eastAsia" w:ascii="微软雅黑" w:hAnsi="微软雅黑" w:cs="宋体"/>
                <w:szCs w:val="21"/>
              </w:rPr>
              <w:t>2、摄像头：设备应采用高清双目相机，1路200W可见光摄像头，1路200W红外补光摄像头。</w:t>
            </w:r>
          </w:p>
          <w:p>
            <w:pPr>
              <w:spacing w:after="0"/>
              <w:rPr>
                <w:rFonts w:ascii="微软雅黑" w:hAnsi="微软雅黑" w:cs="宋体"/>
                <w:szCs w:val="21"/>
              </w:rPr>
            </w:pPr>
            <w:r>
              <w:rPr>
                <w:rFonts w:hint="eastAsia" w:ascii="微软雅黑" w:hAnsi="微软雅黑" w:cs="宋体"/>
                <w:szCs w:val="21"/>
              </w:rPr>
              <w:t>★3、存储容量：支持至少50000张IC卡；支持至少50000张人脸，支持至少250000条事件。（提供具有CMA或CNAS或公安部等权威机构出具的检测报告关键指标页复印件证明，加盖投标人公章）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4、工作模式：支持本地单机管理；支持远程管理等多种方式。</w:t>
            </w:r>
          </w:p>
          <w:p>
            <w:pPr>
              <w:spacing w:after="0"/>
              <w:rPr>
                <w:rFonts w:ascii="微软雅黑" w:hAnsi="微软雅黑" w:cs="宋体"/>
                <w:szCs w:val="21"/>
              </w:rPr>
            </w:pPr>
            <w:r>
              <w:rPr>
                <w:rFonts w:hint="eastAsia" w:ascii="微软雅黑" w:hAnsi="微软雅黑" w:cs="宋体"/>
                <w:szCs w:val="21"/>
              </w:rPr>
              <w:t>5、识别模式：支持单人识别和多人识别模式。</w:t>
            </w:r>
          </w:p>
          <w:p>
            <w:pPr>
              <w:spacing w:after="0"/>
              <w:rPr>
                <w:rFonts w:ascii="微软雅黑" w:hAnsi="微软雅黑" w:cs="宋体"/>
                <w:szCs w:val="21"/>
              </w:rPr>
            </w:pPr>
            <w:r>
              <w:rPr>
                <w:rFonts w:hint="eastAsia" w:ascii="微软雅黑" w:hAnsi="微软雅黑" w:cs="宋体"/>
                <w:szCs w:val="21"/>
              </w:rPr>
              <w:t>6、出入认证方式：支持对们开启方式（卡、人脸、密码等）的各种使用权限进行组合设置，实现不同安全级别场景的权限管理，认证方式包含：1）人脸；2）人脸或刷卡；3）人脸+刷卡；4）人脸+密码；5）二维码。支持学校现有一卡通卡。</w:t>
            </w:r>
          </w:p>
          <w:p>
            <w:pPr>
              <w:spacing w:after="0"/>
              <w:rPr>
                <w:rFonts w:ascii="微软雅黑" w:hAnsi="微软雅黑" w:cs="宋体"/>
                <w:szCs w:val="21"/>
              </w:rPr>
            </w:pPr>
            <w:r>
              <w:rPr>
                <w:rFonts w:hint="eastAsia" w:ascii="微软雅黑" w:hAnsi="微软雅黑" w:cs="宋体"/>
                <w:szCs w:val="21"/>
              </w:rPr>
              <w:t>7、硬件接口：</w:t>
            </w:r>
          </w:p>
          <w:p>
            <w:pPr>
              <w:spacing w:after="0"/>
              <w:rPr>
                <w:rFonts w:ascii="微软雅黑" w:hAnsi="微软雅黑" w:cs="宋体"/>
                <w:szCs w:val="21"/>
              </w:rPr>
            </w:pPr>
            <w:r>
              <w:rPr>
                <w:rFonts w:hint="eastAsia" w:ascii="微软雅黑" w:hAnsi="微软雅黑" w:cs="宋体"/>
                <w:szCs w:val="21"/>
              </w:rPr>
              <w:t>1）RJ45×1；2）WIFI×1；3）继电器×1；4）门磁输入×1；5）报警输入×2；6）开门按钮×1；7）报警输出×1；8）韦根输入/输出×1；9）RS485×1；10）USB2.0×1；11）USB Type-c×1；12）Rest按钮×1；13）防拆按钮×1；14）扬声器×1；15）麦克风×1；16）指示灯×1。</w:t>
            </w:r>
          </w:p>
          <w:p>
            <w:pPr>
              <w:spacing w:after="0"/>
              <w:rPr>
                <w:rFonts w:ascii="微软雅黑" w:hAnsi="微软雅黑" w:cs="宋体"/>
                <w:szCs w:val="21"/>
              </w:rPr>
            </w:pPr>
            <w:r>
              <w:rPr>
                <w:rFonts w:hint="eastAsia" w:ascii="微软雅黑" w:hAnsi="微软雅黑" w:cs="宋体"/>
                <w:szCs w:val="21"/>
              </w:rPr>
              <w:t>8、算法自学习功能：设备具备在线自学习提升识别效果的功能。</w:t>
            </w:r>
          </w:p>
          <w:p>
            <w:pPr>
              <w:spacing w:after="0"/>
              <w:rPr>
                <w:rFonts w:ascii="微软雅黑" w:hAnsi="微软雅黑" w:cs="宋体"/>
                <w:szCs w:val="21"/>
              </w:rPr>
            </w:pPr>
            <w:r>
              <w:rPr>
                <w:rFonts w:hint="eastAsia" w:ascii="微软雅黑" w:hAnsi="微软雅黑" w:cs="宋体"/>
                <w:szCs w:val="21"/>
              </w:rPr>
              <w:t>9、防护等级：IP67</w:t>
            </w:r>
          </w:p>
          <w:p>
            <w:pPr>
              <w:spacing w:after="0"/>
              <w:rPr>
                <w:rFonts w:ascii="微软雅黑" w:hAnsi="微软雅黑" w:cs="宋体"/>
                <w:szCs w:val="21"/>
              </w:rPr>
            </w:pPr>
            <w:r>
              <w:rPr>
                <w:rFonts w:hint="eastAsia" w:ascii="微软雅黑" w:hAnsi="微软雅黑" w:cs="宋体"/>
                <w:szCs w:val="21"/>
              </w:rPr>
              <w:t>▲10、人脸比对误识率和准确率：测试用基础人脸数据库须大于10000张，误识率≤0.01%，准确率≥99.99%。</w:t>
            </w:r>
          </w:p>
          <w:p>
            <w:pPr>
              <w:spacing w:after="0"/>
              <w:rPr>
                <w:rFonts w:ascii="微软雅黑" w:hAnsi="微软雅黑" w:cs="宋体"/>
                <w:szCs w:val="21"/>
              </w:rPr>
            </w:pPr>
            <w:r>
              <w:rPr>
                <w:rFonts w:hint="eastAsia" w:ascii="微软雅黑" w:hAnsi="微软雅黑" w:cs="宋体"/>
                <w:szCs w:val="21"/>
              </w:rPr>
              <w:t>▲11、人脸比对平均时间：人脸比对平均时间应&lt;150ms。</w:t>
            </w:r>
          </w:p>
          <w:p>
            <w:pPr>
              <w:spacing w:after="0"/>
              <w:rPr>
                <w:rFonts w:ascii="微软雅黑" w:hAnsi="微软雅黑" w:cs="宋体"/>
                <w:szCs w:val="21"/>
              </w:rPr>
            </w:pPr>
            <w:r>
              <w:rPr>
                <w:rFonts w:hint="eastAsia" w:ascii="微软雅黑" w:hAnsi="微软雅黑" w:cs="宋体"/>
                <w:szCs w:val="21"/>
              </w:rPr>
              <w:t>12、通行能力：每分钟通行人次≥50人。</w:t>
            </w:r>
          </w:p>
          <w:p>
            <w:pPr>
              <w:spacing w:after="0"/>
              <w:rPr>
                <w:rFonts w:ascii="微软雅黑" w:hAnsi="微软雅黑" w:cs="宋体"/>
                <w:szCs w:val="21"/>
              </w:rPr>
            </w:pPr>
            <w:r>
              <w:rPr>
                <w:rFonts w:hint="eastAsia" w:ascii="微软雅黑" w:hAnsi="微软雅黑" w:cs="宋体"/>
                <w:szCs w:val="21"/>
              </w:rPr>
              <w:t>13、美颜功能：人脸交互界面应能开启或关闭美颜显示功能。</w:t>
            </w:r>
          </w:p>
          <w:p>
            <w:pPr>
              <w:spacing w:after="0"/>
              <w:rPr>
                <w:rFonts w:ascii="微软雅黑" w:hAnsi="微软雅黑" w:cs="宋体"/>
                <w:szCs w:val="21"/>
              </w:rPr>
            </w:pPr>
            <w:r>
              <w:rPr>
                <w:rFonts w:hint="eastAsia" w:ascii="微软雅黑" w:hAnsi="微软雅黑" w:cs="宋体"/>
                <w:szCs w:val="21"/>
              </w:rPr>
              <w:t>14、防假体攻击准确率：防假体攻击准确率=防假体攻击成功总次数/探测人脸数据库总数x100%，防假体攻击准确率应≥99.99%。</w:t>
            </w:r>
          </w:p>
          <w:p>
            <w:pPr>
              <w:spacing w:after="0"/>
              <w:rPr>
                <w:rFonts w:ascii="微软雅黑" w:hAnsi="微软雅黑" w:cs="宋体"/>
                <w:szCs w:val="21"/>
              </w:rPr>
            </w:pPr>
            <w:r>
              <w:rPr>
                <w:rFonts w:hint="eastAsia" w:ascii="微软雅黑" w:hAnsi="微软雅黑" w:cs="宋体"/>
                <w:szCs w:val="21"/>
              </w:rPr>
              <w:t>15、戴口罩识别：测试用基础人脸数据库须大于10000张，准确率=注册人员通过总次数/注册人员库总数 x100%，准确率应≥99.9%。</w:t>
            </w:r>
          </w:p>
          <w:p>
            <w:pPr>
              <w:spacing w:after="0"/>
              <w:rPr>
                <w:rFonts w:ascii="微软雅黑" w:hAnsi="微软雅黑" w:cs="宋体"/>
                <w:szCs w:val="21"/>
              </w:rPr>
            </w:pPr>
            <w:r>
              <w:rPr>
                <w:rFonts w:hint="eastAsia" w:ascii="微软雅黑" w:hAnsi="微软雅黑" w:cs="宋体"/>
                <w:szCs w:val="21"/>
              </w:rPr>
              <w:t>16、刷卡：支持屏下刷卡，支持NFC刷卡功能。</w:t>
            </w:r>
          </w:p>
          <w:p>
            <w:pPr>
              <w:spacing w:after="0"/>
              <w:rPr>
                <w:rFonts w:ascii="微软雅黑" w:hAnsi="微软雅黑" w:cs="宋体"/>
                <w:szCs w:val="21"/>
              </w:rPr>
            </w:pPr>
            <w:r>
              <w:rPr>
                <w:rFonts w:hint="eastAsia" w:ascii="微软雅黑" w:hAnsi="微软雅黑" w:cs="宋体"/>
                <w:szCs w:val="21"/>
              </w:rPr>
              <w:t>17、人脸识别间隔配置：支持设置人脸识别间隔时间。</w:t>
            </w:r>
          </w:p>
          <w:p>
            <w:pPr>
              <w:spacing w:after="0"/>
              <w:rPr>
                <w:rFonts w:ascii="微软雅黑" w:hAnsi="微软雅黑" w:cs="宋体"/>
                <w:szCs w:val="21"/>
              </w:rPr>
            </w:pPr>
            <w:r>
              <w:rPr>
                <w:rFonts w:hint="eastAsia" w:ascii="微软雅黑" w:hAnsi="微软雅黑" w:cs="宋体"/>
                <w:szCs w:val="21"/>
              </w:rPr>
              <w:t>▲18、注册仅下发特征值功能：设备支持特定服务器平台仅下发注册人员特征值，不下发照片，人脸识别功能正常。（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19、安全设置功能：支持看门狗机制，保证设备稳定运行功能。</w:t>
            </w:r>
          </w:p>
          <w:p>
            <w:pPr>
              <w:spacing w:after="0"/>
              <w:rPr>
                <w:rFonts w:ascii="微软雅黑" w:hAnsi="微软雅黑" w:cs="宋体"/>
                <w:szCs w:val="21"/>
              </w:rPr>
            </w:pPr>
            <w:r>
              <w:rPr>
                <w:rFonts w:hint="eastAsia" w:ascii="微软雅黑" w:hAnsi="微软雅黑" w:cs="宋体"/>
                <w:szCs w:val="21"/>
              </w:rPr>
              <w:t>20、暗光识别功能：在环境照度为0.001lux且不打开白光补光灯时，可以正常进行人脸识别。</w:t>
            </w:r>
          </w:p>
          <w:p>
            <w:pPr>
              <w:spacing w:after="0"/>
              <w:rPr>
                <w:rFonts w:ascii="微软雅黑" w:hAnsi="微软雅黑" w:cs="宋体"/>
                <w:szCs w:val="21"/>
              </w:rPr>
            </w:pPr>
            <w:r>
              <w:rPr>
                <w:rFonts w:hint="eastAsia" w:ascii="微软雅黑" w:hAnsi="微软雅黑" w:cs="宋体"/>
                <w:szCs w:val="21"/>
              </w:rPr>
              <w:t>▲21、非正常佩戴口罩检出准确率：非正常佩戴口罩检出准确率≥99%。</w:t>
            </w:r>
          </w:p>
          <w:p>
            <w:pPr>
              <w:spacing w:after="0"/>
              <w:rPr>
                <w:rFonts w:ascii="微软雅黑" w:hAnsi="微软雅黑"/>
              </w:rPr>
            </w:pPr>
            <w:r>
              <w:rPr>
                <w:rFonts w:hint="eastAsia" w:ascii="微软雅黑" w:hAnsi="微软雅黑" w:cs="宋体"/>
                <w:szCs w:val="21"/>
              </w:rPr>
              <w:t>22、工作温度：-30℃～70℃。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03" w:type="dxa"/>
            <w:vAlign w:val="center"/>
          </w:tcPr>
          <w:p>
            <w:pPr>
              <w:spacing w:after="0" w:line="460" w:lineRule="exact"/>
              <w:jc w:val="center"/>
              <w:rPr>
                <w:rFonts w:ascii="微软雅黑" w:hAnsi="微软雅黑" w:cs="微软雅黑"/>
                <w:szCs w:val="21"/>
              </w:rPr>
            </w:pPr>
            <w:r>
              <w:rPr>
                <w:rFonts w:hint="eastAsia" w:ascii="微软雅黑" w:hAnsi="微软雅黑" w:cs="宋体"/>
                <w:szCs w:val="21"/>
              </w:rPr>
              <w:t>人脸识别翼闸通道（单机芯和双机芯翼闸）</w:t>
            </w:r>
          </w:p>
        </w:tc>
        <w:tc>
          <w:tcPr>
            <w:tcW w:w="7782" w:type="dxa"/>
            <w:vAlign w:val="center"/>
          </w:tcPr>
          <w:p>
            <w:pPr>
              <w:spacing w:after="0"/>
              <w:rPr>
                <w:rFonts w:ascii="微软雅黑" w:hAnsi="微软雅黑" w:cs="宋体"/>
                <w:szCs w:val="21"/>
              </w:rPr>
            </w:pPr>
            <w:r>
              <w:rPr>
                <w:rFonts w:hint="eastAsia" w:ascii="微软雅黑" w:hAnsi="微软雅黑" w:cs="宋体"/>
                <w:szCs w:val="21"/>
              </w:rPr>
              <w:t>智能通道闸机功能详细要求</w:t>
            </w:r>
          </w:p>
          <w:p>
            <w:pPr>
              <w:spacing w:after="0"/>
              <w:rPr>
                <w:rFonts w:ascii="微软雅黑" w:hAnsi="微软雅黑" w:cs="宋体"/>
                <w:szCs w:val="21"/>
              </w:rPr>
            </w:pPr>
            <w:r>
              <w:rPr>
                <w:rFonts w:hint="eastAsia" w:ascii="微软雅黑" w:hAnsi="微软雅黑" w:cs="宋体"/>
                <w:szCs w:val="21"/>
              </w:rPr>
              <w:t>1、采用不少于7对红外装置实现防尾随、方向判别、防夹伤、报警功能；自带电池，断电收回翼板；进出人员记录需要依据红外逻辑判断判断刷脸记录是否入库，防止学生刷脸不经过通道产生刷脸记录导致数据不准确。</w:t>
            </w:r>
          </w:p>
          <w:p>
            <w:pPr>
              <w:spacing w:after="0"/>
              <w:rPr>
                <w:rFonts w:ascii="微软雅黑" w:hAnsi="微软雅黑" w:cs="宋体"/>
                <w:szCs w:val="21"/>
              </w:rPr>
            </w:pPr>
            <w:r>
              <w:rPr>
                <w:rFonts w:hint="eastAsia" w:ascii="微软雅黑" w:hAnsi="微软雅黑" w:cs="宋体"/>
                <w:szCs w:val="21"/>
              </w:rPr>
              <w:t>2、有障碍与无障碍相结合的模式，根据要求灵活使用，通道机具有多时段控制功能，不同时段闸机使用不同的使用模式；高峰期时间段闸机自动缩回形成无障碍通道，保证学生顺利通行，学生仍继续刷脸，无障碍状态下通道仍能抓拍和录像并进行联动（即使学生不刷脸也会以非法进入方式进行抓拍，留存证据）；非高峰期恢复有障碍，需刷脸开闸通行。这种转换可分为定时转换和自动转换（根据流量）两种形式。</w:t>
            </w:r>
          </w:p>
          <w:p>
            <w:pPr>
              <w:spacing w:after="0"/>
              <w:rPr>
                <w:rFonts w:ascii="微软雅黑" w:hAnsi="微软雅黑" w:cs="宋体"/>
                <w:szCs w:val="21"/>
              </w:rPr>
            </w:pPr>
            <w:r>
              <w:rPr>
                <w:rFonts w:hint="eastAsia" w:ascii="微软雅黑" w:hAnsi="微软雅黑" w:cs="宋体"/>
                <w:szCs w:val="21"/>
              </w:rPr>
              <w:t>3、语音报警提示功能，人员通过通道后有真人语音提示。</w:t>
            </w:r>
          </w:p>
          <w:p>
            <w:pPr>
              <w:spacing w:after="0"/>
              <w:rPr>
                <w:rFonts w:ascii="微软雅黑" w:hAnsi="微软雅黑" w:cs="宋体"/>
                <w:szCs w:val="21"/>
              </w:rPr>
            </w:pPr>
            <w:r>
              <w:rPr>
                <w:rFonts w:hint="eastAsia" w:ascii="微软雅黑" w:hAnsi="微软雅黑" w:cs="宋体"/>
                <w:szCs w:val="21"/>
              </w:rPr>
              <w:t>4、 闸机采用人脸识别验证模式，人脸识别后，通行者在规定时间内未通行时，为保证数据的准确性，不允许有任何数据上传到后台，行人在通过通道并离开通道区域后通过人员的通行记录可以上传到后台数据库中。</w:t>
            </w:r>
          </w:p>
          <w:p>
            <w:pPr>
              <w:spacing w:after="0"/>
              <w:rPr>
                <w:rFonts w:ascii="微软雅黑" w:hAnsi="微软雅黑" w:cs="宋体"/>
                <w:szCs w:val="21"/>
              </w:rPr>
            </w:pPr>
            <w:r>
              <w:rPr>
                <w:rFonts w:hint="eastAsia" w:ascii="微软雅黑" w:hAnsi="微软雅黑" w:cs="宋体"/>
                <w:szCs w:val="21"/>
              </w:rPr>
              <w:t>5、 闸机具有滤重功能，在规定时间内同一张人脸只能在一路通道进出使用，不允许同时打开多路通道。</w:t>
            </w:r>
          </w:p>
          <w:p>
            <w:pPr>
              <w:spacing w:after="0"/>
              <w:rPr>
                <w:rFonts w:ascii="微软雅黑" w:hAnsi="微软雅黑" w:cs="宋体"/>
                <w:szCs w:val="21"/>
              </w:rPr>
            </w:pPr>
            <w:r>
              <w:rPr>
                <w:rFonts w:hint="eastAsia" w:ascii="微软雅黑" w:hAnsi="微软雅黑" w:cs="宋体"/>
                <w:szCs w:val="21"/>
              </w:rPr>
              <w:t>6、 通讯协议检验：通道机采用TCP/IP协议进行通讯，当闸机与管理软件断开通讯后，闸机可以脱机使用进行进出验证，继续存储记录，在通讯恢复后上传记录到管理软件。</w:t>
            </w:r>
          </w:p>
          <w:p>
            <w:pPr>
              <w:spacing w:after="0"/>
              <w:rPr>
                <w:rFonts w:ascii="微软雅黑" w:hAnsi="微软雅黑" w:cs="宋体"/>
                <w:szCs w:val="21"/>
              </w:rPr>
            </w:pPr>
            <w:r>
              <w:rPr>
                <w:rFonts w:hint="eastAsia" w:ascii="微软雅黑" w:hAnsi="微软雅黑" w:cs="宋体"/>
                <w:szCs w:val="21"/>
              </w:rPr>
              <w:t>7、联网、断网使用功能：当闸机的控制设备联网时，人员通行可通过在线识别方式；当闸机的控制设备离线时，人员通行可通过离线识别方式，以确保在不同工作环境下，不影响人员正常通行。</w:t>
            </w:r>
          </w:p>
          <w:p>
            <w:pPr>
              <w:spacing w:after="0"/>
              <w:rPr>
                <w:rFonts w:ascii="微软雅黑" w:hAnsi="微软雅黑" w:cs="宋体"/>
                <w:szCs w:val="21"/>
              </w:rPr>
            </w:pPr>
            <w:r>
              <w:rPr>
                <w:rFonts w:hint="eastAsia" w:ascii="微软雅黑" w:hAnsi="微软雅黑" w:cs="宋体"/>
                <w:szCs w:val="21"/>
              </w:rPr>
              <w:t>8、 非法人员进出报警：外来人员或无权限的人员（例如其它宿舍楼的人员）通过通道时，通道发出声光报警，监控系统抓拍非法通过人员的影像资料，以便防止外来非法人员的进入。</w:t>
            </w:r>
          </w:p>
          <w:p>
            <w:pPr>
              <w:spacing w:after="0"/>
              <w:rPr>
                <w:rFonts w:ascii="微软雅黑" w:hAnsi="微软雅黑" w:cs="宋体"/>
                <w:szCs w:val="21"/>
              </w:rPr>
            </w:pPr>
            <w:r>
              <w:rPr>
                <w:rFonts w:hint="eastAsia" w:ascii="微软雅黑" w:hAnsi="微软雅黑" w:cs="宋体"/>
                <w:szCs w:val="21"/>
              </w:rPr>
              <w:t>9、防尾随功能：当通道内通行人数超过允许通行设定人数时可给出报警提示（语音播报，灯光指示），同时上传报警事件，两人间的最小检测间距可达20mm。</w:t>
            </w:r>
          </w:p>
          <w:p>
            <w:pPr>
              <w:spacing w:after="0"/>
              <w:rPr>
                <w:rFonts w:ascii="微软雅黑" w:hAnsi="微软雅黑" w:cs="宋体"/>
                <w:szCs w:val="21"/>
              </w:rPr>
            </w:pPr>
            <w:r>
              <w:rPr>
                <w:rFonts w:hint="eastAsia" w:ascii="微软雅黑" w:hAnsi="微软雅黑" w:cs="宋体"/>
                <w:szCs w:val="21"/>
              </w:rPr>
              <w:t>10、双向进出，自动识别方向：每路通道均可入可出，提高设备使用率，学生通过时，系统会自动识别进出方向，为管理者提供更准确的数据。</w:t>
            </w:r>
          </w:p>
          <w:p>
            <w:pPr>
              <w:spacing w:after="0"/>
              <w:rPr>
                <w:rFonts w:ascii="微软雅黑" w:hAnsi="微软雅黑" w:cs="宋体"/>
                <w:szCs w:val="21"/>
              </w:rPr>
            </w:pPr>
            <w:r>
              <w:rPr>
                <w:rFonts w:hint="eastAsia" w:ascii="微软雅黑" w:hAnsi="微软雅黑" w:cs="宋体"/>
                <w:szCs w:val="21"/>
              </w:rPr>
              <w:t xml:space="preserve">11、 防潜入功能：同一人员的任何身份标签（卡片、二维码、人脸），均不能在同一通行方向上进行连续身份认证通行，同一方向进行二次认证时，闸翼不开启，并有语音提示；                                 </w:t>
            </w:r>
          </w:p>
          <w:p>
            <w:pPr>
              <w:spacing w:after="0"/>
              <w:rPr>
                <w:rFonts w:ascii="微软雅黑" w:hAnsi="微软雅黑" w:cs="宋体"/>
                <w:szCs w:val="21"/>
              </w:rPr>
            </w:pPr>
            <w:r>
              <w:rPr>
                <w:rFonts w:hint="eastAsia" w:ascii="微软雅黑" w:hAnsi="微软雅黑" w:cs="宋体"/>
                <w:szCs w:val="21"/>
              </w:rPr>
              <w:t>12、消防系统联动功能：系统能与消防系统联动，当消防给出火警信号时，通道闸机可自动打开。</w:t>
            </w:r>
          </w:p>
          <w:p>
            <w:pPr>
              <w:spacing w:after="0"/>
              <w:rPr>
                <w:rFonts w:ascii="微软雅黑" w:hAnsi="微软雅黑" w:cs="宋体"/>
                <w:szCs w:val="21"/>
              </w:rPr>
            </w:pPr>
            <w:r>
              <w:rPr>
                <w:rFonts w:hint="eastAsia" w:ascii="微软雅黑" w:hAnsi="微软雅黑" w:cs="宋体"/>
                <w:szCs w:val="21"/>
              </w:rPr>
              <w:t>13、防翻越功能：当设备检测到有人员非法闯入或翻越等行为时，有语音播报，灯光提示，同时能够上传报警事件。（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14、防反冲功能：某一方向的通行过程结束之前，行人从相反方向进入通道将被视为反向闯入，闸翼关闭，系统会自动报警。</w:t>
            </w:r>
          </w:p>
          <w:p>
            <w:pPr>
              <w:spacing w:after="0"/>
              <w:rPr>
                <w:rFonts w:ascii="微软雅黑" w:hAnsi="微软雅黑" w:cs="宋体"/>
                <w:szCs w:val="21"/>
              </w:rPr>
            </w:pPr>
            <w:r>
              <w:rPr>
                <w:rFonts w:hint="eastAsia" w:ascii="微软雅黑" w:hAnsi="微软雅黑" w:cs="宋体"/>
                <w:szCs w:val="21"/>
              </w:rPr>
              <w:t>15、 设备自检功能：设备在上电或重启时语音播报，会自动检测功能是否正常，发现异常会报警提示。</w:t>
            </w:r>
          </w:p>
          <w:p>
            <w:pPr>
              <w:spacing w:after="0"/>
              <w:rPr>
                <w:rFonts w:ascii="微软雅黑" w:hAnsi="微软雅黑" w:cs="宋体"/>
                <w:szCs w:val="21"/>
              </w:rPr>
            </w:pPr>
            <w:r>
              <w:rPr>
                <w:rFonts w:hint="eastAsia" w:ascii="微软雅黑" w:hAnsi="微软雅黑" w:cs="宋体"/>
                <w:szCs w:val="21"/>
              </w:rPr>
              <w:t>▲16、存储容量：设备可存储不少于50万张卡片和不少于70万条记录（提供具有CMA或CNAS或公安部等权威机构出具的检测报告关键指标页复印件证明，加盖投标人公章）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17、 断电开启功能：断电时系统会自动打开闸翼成敞开状态，方便疏散人群，符合消防要求。</w:t>
            </w:r>
          </w:p>
          <w:p>
            <w:pPr>
              <w:spacing w:after="0"/>
              <w:rPr>
                <w:rFonts w:ascii="微软雅黑" w:hAnsi="微软雅黑" w:cs="宋体"/>
                <w:szCs w:val="21"/>
              </w:rPr>
            </w:pPr>
            <w:r>
              <w:rPr>
                <w:rFonts w:hint="eastAsia" w:ascii="微软雅黑" w:hAnsi="微软雅黑" w:cs="宋体"/>
                <w:szCs w:val="21"/>
              </w:rPr>
              <w:t>18、 通行指示功能：箱体前端安装LED指示通行状态和通行方向，根据设定的出入方向显示对应方向指示灯。</w:t>
            </w:r>
          </w:p>
          <w:p>
            <w:pPr>
              <w:spacing w:after="0"/>
              <w:rPr>
                <w:rFonts w:ascii="微软雅黑" w:hAnsi="微软雅黑" w:cs="宋体"/>
                <w:szCs w:val="21"/>
              </w:rPr>
            </w:pPr>
            <w:r>
              <w:rPr>
                <w:rFonts w:hint="eastAsia" w:ascii="微软雅黑" w:hAnsi="微软雅黑" w:cs="宋体"/>
                <w:szCs w:val="21"/>
              </w:rPr>
              <w:t>19、 定时设置功能：通过管理软件设置闸机在指定时间段运行模式，受控通行、自由通行、禁止通行、只许进不许出、只许出不许进。工作模式：常开/常闭（默认），可自由切换。</w:t>
            </w:r>
          </w:p>
          <w:p>
            <w:pPr>
              <w:spacing w:after="0"/>
              <w:rPr>
                <w:rFonts w:ascii="微软雅黑" w:hAnsi="微软雅黑" w:cs="宋体"/>
                <w:szCs w:val="21"/>
              </w:rPr>
            </w:pPr>
            <w:r>
              <w:rPr>
                <w:rFonts w:hint="eastAsia" w:ascii="微软雅黑" w:hAnsi="微软雅黑" w:cs="宋体"/>
                <w:szCs w:val="21"/>
              </w:rPr>
              <w:t>20、防夹功能：在靠近闸翼活动的区域（防夹区域）安装多对红外探测器，一旦检测到防夹区域有人或物体，闸翼自动停止动作；直到人或物体离开防夹区域后，闸翼才继续动作。</w:t>
            </w:r>
          </w:p>
          <w:p>
            <w:pPr>
              <w:spacing w:after="0"/>
              <w:rPr>
                <w:rFonts w:ascii="微软雅黑" w:hAnsi="微软雅黑" w:cs="宋体"/>
                <w:szCs w:val="21"/>
              </w:rPr>
            </w:pPr>
            <w:r>
              <w:rPr>
                <w:rFonts w:hint="eastAsia" w:ascii="微软雅黑" w:hAnsi="微软雅黑" w:cs="宋体"/>
                <w:szCs w:val="21"/>
              </w:rPr>
              <w:t>21、 机械防夹：闸翼在关闭过程中碰到阻碍，会瞬时反向弹开；闸翼关闭过程中的冲撞力在安全范围内。</w:t>
            </w:r>
          </w:p>
          <w:p>
            <w:pPr>
              <w:spacing w:after="0"/>
              <w:rPr>
                <w:rFonts w:ascii="微软雅黑" w:hAnsi="微软雅黑" w:cs="宋体"/>
                <w:szCs w:val="21"/>
              </w:rPr>
            </w:pPr>
            <w:r>
              <w:rPr>
                <w:rFonts w:hint="eastAsia" w:ascii="微软雅黑" w:hAnsi="微软雅黑" w:cs="宋体"/>
                <w:szCs w:val="21"/>
              </w:rPr>
              <w:t>22、 应急开启功能：通过管理软件、开关按键、开关量输入接口开启闸翼，配置紧急逃生控制装置，使系统自动打开闸翼，方便疏散人群（可远程控制）。                                                     23、防水浸功能：设备底部距地面不小于200mm 高度范围内无电气部件</w:t>
            </w:r>
          </w:p>
          <w:p>
            <w:pPr>
              <w:spacing w:after="0"/>
              <w:rPr>
                <w:rFonts w:ascii="微软雅黑" w:hAnsi="微软雅黑" w:cs="宋体"/>
                <w:szCs w:val="21"/>
              </w:rPr>
            </w:pPr>
            <w:r>
              <w:rPr>
                <w:rFonts w:hint="eastAsia" w:ascii="微软雅黑" w:hAnsi="微软雅黑" w:cs="宋体"/>
                <w:szCs w:val="21"/>
              </w:rPr>
              <w:t>24、外壳机械碰撞等级：机身外壳的人员通行检测部分、指示部分、 应符合不低于IK05 的要求，其他表面应不低于IK07的要求。</w:t>
            </w:r>
          </w:p>
          <w:p>
            <w:pPr>
              <w:spacing w:after="0"/>
              <w:rPr>
                <w:rFonts w:ascii="微软雅黑" w:hAnsi="微软雅黑" w:cs="宋体"/>
                <w:szCs w:val="21"/>
              </w:rPr>
            </w:pPr>
            <w:r>
              <w:rPr>
                <w:rFonts w:hint="eastAsia" w:ascii="微软雅黑" w:hAnsi="微软雅黑" w:cs="宋体"/>
                <w:szCs w:val="21"/>
              </w:rPr>
              <w:t>25、通道机支持在手机端查看通道的运行状态，状态信息应包含设备启动时间、开关状态、通讯状态、控制器环境温度、控制器环境湿度、电机动作次数。</w:t>
            </w:r>
          </w:p>
          <w:p>
            <w:pPr>
              <w:spacing w:after="0"/>
              <w:rPr>
                <w:rFonts w:ascii="微软雅黑" w:hAnsi="微软雅黑" w:cs="宋体"/>
                <w:szCs w:val="21"/>
              </w:rPr>
            </w:pPr>
            <w:r>
              <w:rPr>
                <w:rFonts w:hint="eastAsia" w:ascii="微软雅黑" w:hAnsi="微软雅黑" w:cs="宋体"/>
                <w:szCs w:val="21"/>
              </w:rPr>
              <w:t>26、保护接地功能：设备与交流电源的连接，支持工作零线和保护接地线严格分开的方式，设备应具有保护接地端子，其与可触及的导电零部件间应有导电良好的直接连接，接触电阻应不大于 0.1Ω（提供具有CMA或CNAS或公安部等权威机构出具的检测报告关键指标页复印件证明，加盖投标人公章）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27、智能通道机参数（翼闸）</w:t>
            </w:r>
          </w:p>
          <w:p>
            <w:pPr>
              <w:spacing w:after="0"/>
              <w:rPr>
                <w:rFonts w:ascii="微软雅黑" w:hAnsi="微软雅黑" w:cs="宋体"/>
                <w:szCs w:val="21"/>
              </w:rPr>
            </w:pPr>
            <w:r>
              <w:rPr>
                <w:rFonts w:hint="eastAsia" w:ascii="微软雅黑" w:hAnsi="微软雅黑" w:cs="宋体"/>
                <w:szCs w:val="21"/>
              </w:rPr>
              <w:t>1）箱体尺寸：≥1400mm*300mm*980mm（长*宽*高）</w:t>
            </w:r>
          </w:p>
          <w:p>
            <w:pPr>
              <w:spacing w:after="0"/>
              <w:rPr>
                <w:rFonts w:ascii="微软雅黑" w:hAnsi="微软雅黑" w:cs="宋体"/>
                <w:szCs w:val="21"/>
              </w:rPr>
            </w:pPr>
            <w:r>
              <w:rPr>
                <w:rFonts w:hint="eastAsia" w:ascii="微软雅黑" w:hAnsi="微软雅黑" w:cs="宋体"/>
                <w:szCs w:val="21"/>
              </w:rPr>
              <w:t xml:space="preserve">2）箱体材质：304不锈钢 国标，钢板厚度≥1.2mm </w:t>
            </w:r>
          </w:p>
          <w:p>
            <w:pPr>
              <w:spacing w:after="0"/>
              <w:rPr>
                <w:rFonts w:ascii="微软雅黑" w:hAnsi="微软雅黑" w:cs="宋体"/>
                <w:szCs w:val="21"/>
              </w:rPr>
            </w:pPr>
            <w:r>
              <w:rPr>
                <w:rFonts w:hint="eastAsia" w:ascii="微软雅黑" w:hAnsi="微软雅黑" w:cs="宋体"/>
                <w:szCs w:val="21"/>
              </w:rPr>
              <w:t>3）制作工艺：数控裁板、激光开孔 、无缝焊接</w:t>
            </w:r>
          </w:p>
          <w:p>
            <w:pPr>
              <w:spacing w:after="0"/>
              <w:rPr>
                <w:rFonts w:ascii="微软雅黑" w:hAnsi="微软雅黑" w:cs="宋体"/>
                <w:szCs w:val="21"/>
              </w:rPr>
            </w:pPr>
            <w:r>
              <w:rPr>
                <w:rFonts w:hint="eastAsia" w:ascii="微软雅黑" w:hAnsi="微软雅黑" w:cs="宋体"/>
                <w:szCs w:val="21"/>
              </w:rPr>
              <w:t>4）使用环境：室内室外均可，防风防雨</w:t>
            </w:r>
          </w:p>
          <w:p>
            <w:pPr>
              <w:spacing w:after="0"/>
              <w:rPr>
                <w:rFonts w:ascii="微软雅黑" w:hAnsi="微软雅黑" w:cs="宋体"/>
                <w:szCs w:val="21"/>
              </w:rPr>
            </w:pPr>
            <w:r>
              <w:rPr>
                <w:rFonts w:hint="eastAsia" w:ascii="微软雅黑" w:hAnsi="微软雅黑" w:cs="宋体"/>
                <w:szCs w:val="21"/>
              </w:rPr>
              <w:t>5）电源电压： AC220±10% V,50HZ</w:t>
            </w:r>
          </w:p>
          <w:p>
            <w:pPr>
              <w:spacing w:after="0"/>
              <w:rPr>
                <w:rFonts w:ascii="微软雅黑" w:hAnsi="微软雅黑" w:cs="宋体"/>
                <w:szCs w:val="21"/>
              </w:rPr>
            </w:pPr>
            <w:r>
              <w:rPr>
                <w:rFonts w:hint="eastAsia" w:ascii="微软雅黑" w:hAnsi="微软雅黑" w:cs="宋体"/>
                <w:szCs w:val="21"/>
              </w:rPr>
              <w:t>6）驱动电机： 直流电机</w:t>
            </w:r>
          </w:p>
          <w:p>
            <w:pPr>
              <w:spacing w:after="0"/>
              <w:rPr>
                <w:rFonts w:ascii="微软雅黑" w:hAnsi="微软雅黑" w:cs="宋体"/>
                <w:szCs w:val="21"/>
              </w:rPr>
            </w:pPr>
            <w:r>
              <w:rPr>
                <w:rFonts w:hint="eastAsia" w:ascii="微软雅黑" w:hAnsi="微软雅黑" w:cs="宋体"/>
                <w:szCs w:val="21"/>
              </w:rPr>
              <w:t>7）每个机芯对应一个控制主板，工作更稳定可靠</w:t>
            </w:r>
          </w:p>
          <w:p>
            <w:pPr>
              <w:spacing w:after="0"/>
              <w:rPr>
                <w:rFonts w:ascii="微软雅黑" w:hAnsi="微软雅黑" w:cs="宋体"/>
                <w:szCs w:val="21"/>
              </w:rPr>
            </w:pPr>
            <w:r>
              <w:rPr>
                <w:rFonts w:hint="eastAsia" w:ascii="微软雅黑" w:hAnsi="微软雅黑" w:cs="宋体"/>
                <w:szCs w:val="21"/>
              </w:rPr>
              <w:t>8）限位开关具有防水功能</w:t>
            </w:r>
          </w:p>
          <w:p>
            <w:pPr>
              <w:spacing w:after="0"/>
              <w:rPr>
                <w:rFonts w:ascii="微软雅黑" w:hAnsi="微软雅黑" w:cs="宋体"/>
                <w:szCs w:val="21"/>
              </w:rPr>
            </w:pPr>
            <w:r>
              <w:rPr>
                <w:rFonts w:hint="eastAsia" w:ascii="微软雅黑" w:hAnsi="微软雅黑" w:cs="宋体"/>
                <w:szCs w:val="21"/>
              </w:rPr>
              <w:t>9）翼门材料：亚克力透明翼，厚度不小于5cm，PU材质，模具生产，质地柔软，耐冲撞，内部有加固结构</w:t>
            </w:r>
          </w:p>
          <w:p>
            <w:pPr>
              <w:spacing w:after="0"/>
              <w:rPr>
                <w:rFonts w:ascii="微软雅黑" w:hAnsi="微软雅黑" w:cs="宋体"/>
                <w:szCs w:val="21"/>
              </w:rPr>
            </w:pPr>
            <w:r>
              <w:rPr>
                <w:rFonts w:hint="eastAsia" w:ascii="微软雅黑" w:hAnsi="微软雅黑" w:cs="宋体"/>
                <w:szCs w:val="21"/>
              </w:rPr>
              <w:t>10）输入接口： 继电器开关信号或12V电平信号或脉宽＞100ms的12V脉冲信号，驱动电流＞10mA</w:t>
            </w:r>
          </w:p>
          <w:p>
            <w:pPr>
              <w:spacing w:after="0"/>
              <w:rPr>
                <w:rFonts w:ascii="微软雅黑" w:hAnsi="微软雅黑" w:cs="宋体"/>
                <w:szCs w:val="21"/>
              </w:rPr>
            </w:pPr>
            <w:r>
              <w:rPr>
                <w:rFonts w:hint="eastAsia" w:ascii="微软雅黑" w:hAnsi="微软雅黑" w:cs="宋体"/>
                <w:szCs w:val="21"/>
              </w:rPr>
              <w:t>▲11）使用寿命：≧3000万次（提供带有CNAS或CMA标识权威机构出具的检测报告关键指标页，并加盖投标人公章）</w:t>
            </w:r>
          </w:p>
          <w:p>
            <w:pPr>
              <w:spacing w:after="0"/>
              <w:rPr>
                <w:rFonts w:ascii="微软雅黑" w:hAnsi="微软雅黑" w:cs="宋体"/>
                <w:szCs w:val="21"/>
              </w:rPr>
            </w:pPr>
            <w:r>
              <w:rPr>
                <w:rFonts w:hint="eastAsia" w:ascii="微软雅黑" w:hAnsi="微软雅黑" w:cs="宋体"/>
                <w:szCs w:val="21"/>
              </w:rPr>
              <w:t xml:space="preserve">12）开关时间：≤1.5秒（需本地、远程均可调） </w:t>
            </w:r>
          </w:p>
          <w:p>
            <w:pPr>
              <w:spacing w:after="0"/>
              <w:rPr>
                <w:rFonts w:ascii="微软雅黑" w:hAnsi="微软雅黑" w:cs="宋体"/>
                <w:szCs w:val="21"/>
              </w:rPr>
            </w:pPr>
            <w:r>
              <w:rPr>
                <w:rFonts w:hint="eastAsia" w:ascii="微软雅黑" w:hAnsi="微软雅黑" w:cs="宋体"/>
                <w:szCs w:val="21"/>
              </w:rPr>
              <w:t>13）红外检测：≥7对红外开关</w:t>
            </w:r>
          </w:p>
          <w:p>
            <w:pPr>
              <w:spacing w:after="0"/>
              <w:rPr>
                <w:rFonts w:ascii="微软雅黑" w:hAnsi="微软雅黑" w:cs="宋体"/>
                <w:szCs w:val="21"/>
              </w:rPr>
            </w:pPr>
            <w:r>
              <w:rPr>
                <w:rFonts w:hint="eastAsia" w:ascii="微软雅黑" w:hAnsi="微软雅黑" w:cs="宋体"/>
                <w:szCs w:val="21"/>
              </w:rPr>
              <w:t>14）读卡方式：主动式、近距离</w:t>
            </w:r>
          </w:p>
          <w:p>
            <w:pPr>
              <w:spacing w:after="0"/>
              <w:rPr>
                <w:rFonts w:ascii="微软雅黑" w:hAnsi="微软雅黑" w:cs="宋体"/>
                <w:szCs w:val="21"/>
              </w:rPr>
            </w:pPr>
            <w:r>
              <w:rPr>
                <w:rFonts w:hint="eastAsia" w:ascii="微软雅黑" w:hAnsi="微软雅黑" w:cs="宋体"/>
                <w:szCs w:val="21"/>
              </w:rPr>
              <w:t>15）通道宽度：550mm-600mm</w:t>
            </w:r>
          </w:p>
          <w:p>
            <w:pPr>
              <w:spacing w:after="0"/>
              <w:rPr>
                <w:rFonts w:ascii="微软雅黑" w:hAnsi="微软雅黑" w:cs="宋体"/>
                <w:szCs w:val="21"/>
              </w:rPr>
            </w:pPr>
            <w:r>
              <w:rPr>
                <w:rFonts w:hint="eastAsia" w:ascii="微软雅黑" w:hAnsi="微软雅黑" w:cs="宋体"/>
                <w:szCs w:val="21"/>
              </w:rPr>
              <w:t>16）报警提示：声光报警、真人语音提示</w:t>
            </w:r>
          </w:p>
          <w:p>
            <w:pPr>
              <w:spacing w:after="0"/>
              <w:rPr>
                <w:rFonts w:ascii="微软雅黑" w:hAnsi="微软雅黑" w:cs="宋体"/>
                <w:szCs w:val="21"/>
              </w:rPr>
            </w:pPr>
            <w:r>
              <w:rPr>
                <w:rFonts w:hint="eastAsia" w:ascii="微软雅黑" w:hAnsi="微软雅黑" w:cs="宋体"/>
                <w:szCs w:val="21"/>
              </w:rPr>
              <w:t>17）通讯方式：TCP/IP</w:t>
            </w:r>
          </w:p>
          <w:p>
            <w:pPr>
              <w:spacing w:after="0"/>
              <w:rPr>
                <w:rFonts w:ascii="微软雅黑" w:hAnsi="微软雅黑" w:cs="宋体"/>
                <w:szCs w:val="21"/>
              </w:rPr>
            </w:pPr>
            <w:r>
              <w:rPr>
                <w:rFonts w:hint="eastAsia" w:ascii="微软雅黑" w:hAnsi="微软雅黑" w:cs="宋体"/>
                <w:szCs w:val="21"/>
              </w:rPr>
              <w:t>18）需支持卡类：Mifare One(M1)、CPU卡）</w:t>
            </w:r>
          </w:p>
          <w:p>
            <w:pPr>
              <w:spacing w:after="0"/>
              <w:rPr>
                <w:rFonts w:ascii="Verdana" w:hAnsi="Verdana"/>
                <w:szCs w:val="20"/>
              </w:rPr>
            </w:pPr>
            <w:r>
              <w:rPr>
                <w:rFonts w:hint="eastAsia" w:ascii="微软雅黑" w:hAnsi="微软雅黑" w:cs="宋体"/>
                <w:szCs w:val="21"/>
              </w:rPr>
              <w:t xml:space="preserve">19）读头数量：不少于2个/通道                              </w:t>
            </w:r>
            <w:r>
              <w:rPr>
                <w:rFonts w:ascii="微软雅黑" w:hAnsi="微软雅黑"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003" w:type="dxa"/>
            <w:vAlign w:val="center"/>
          </w:tcPr>
          <w:p>
            <w:pPr>
              <w:spacing w:after="0"/>
              <w:jc w:val="center"/>
              <w:textAlignment w:val="center"/>
              <w:rPr>
                <w:rFonts w:ascii="微软雅黑" w:hAnsi="微软雅黑" w:cs="微软雅黑"/>
                <w:szCs w:val="21"/>
              </w:rPr>
            </w:pPr>
            <w:r>
              <w:rPr>
                <w:rFonts w:hint="eastAsia" w:ascii="微软雅黑" w:hAnsi="微软雅黑" w:cs="宋体"/>
                <w:szCs w:val="21"/>
              </w:rPr>
              <w:t>通道控制器</w:t>
            </w:r>
          </w:p>
        </w:tc>
        <w:tc>
          <w:tcPr>
            <w:tcW w:w="7782" w:type="dxa"/>
            <w:vAlign w:val="center"/>
          </w:tcPr>
          <w:p>
            <w:pPr>
              <w:spacing w:after="0"/>
              <w:textAlignment w:val="center"/>
              <w:rPr>
                <w:rFonts w:ascii="微软雅黑" w:hAnsi="微软雅黑" w:cs="宋体"/>
                <w:szCs w:val="21"/>
              </w:rPr>
            </w:pPr>
            <w:r>
              <w:rPr>
                <w:rFonts w:hint="eastAsia" w:ascii="微软雅黑" w:hAnsi="微软雅黑" w:cs="宋体"/>
                <w:szCs w:val="21"/>
              </w:rPr>
              <w:t>1、电机控制:支持无刷直流电机/有刷电机控制的控制</w:t>
            </w:r>
          </w:p>
          <w:p>
            <w:pPr>
              <w:spacing w:after="0"/>
              <w:textAlignment w:val="center"/>
              <w:rPr>
                <w:rFonts w:ascii="微软雅黑" w:hAnsi="微软雅黑" w:cs="宋体"/>
                <w:szCs w:val="21"/>
              </w:rPr>
            </w:pPr>
            <w:r>
              <w:rPr>
                <w:rFonts w:hint="eastAsia" w:ascii="微软雅黑" w:hAnsi="微软雅黑" w:cs="宋体"/>
                <w:szCs w:val="21"/>
              </w:rPr>
              <w:t xml:space="preserve">2、通讯方式：TCP/IP </w:t>
            </w:r>
          </w:p>
          <w:p>
            <w:pPr>
              <w:spacing w:after="0"/>
              <w:textAlignment w:val="center"/>
              <w:rPr>
                <w:rFonts w:ascii="微软雅黑" w:hAnsi="微软雅黑" w:cs="宋体"/>
                <w:szCs w:val="21"/>
              </w:rPr>
            </w:pPr>
            <w:r>
              <w:rPr>
                <w:rFonts w:hint="eastAsia" w:ascii="微软雅黑" w:hAnsi="微软雅黑" w:cs="宋体"/>
                <w:szCs w:val="21"/>
              </w:rPr>
              <w:t>3、指示灯控制能：支持</w:t>
            </w:r>
          </w:p>
          <w:p>
            <w:pPr>
              <w:spacing w:after="0"/>
              <w:textAlignment w:val="center"/>
              <w:rPr>
                <w:rFonts w:ascii="微软雅黑" w:hAnsi="微软雅黑" w:cs="宋体"/>
                <w:szCs w:val="21"/>
              </w:rPr>
            </w:pPr>
            <w:r>
              <w:rPr>
                <w:rFonts w:hint="eastAsia" w:ascii="微软雅黑" w:hAnsi="微软雅黑" w:cs="宋体"/>
                <w:szCs w:val="21"/>
              </w:rPr>
              <w:t>4、温/湿度监测：支持</w:t>
            </w:r>
          </w:p>
          <w:p>
            <w:pPr>
              <w:spacing w:after="0"/>
              <w:textAlignment w:val="center"/>
              <w:rPr>
                <w:rFonts w:ascii="微软雅黑" w:hAnsi="微软雅黑" w:cs="宋体"/>
                <w:szCs w:val="21"/>
              </w:rPr>
            </w:pPr>
            <w:r>
              <w:rPr>
                <w:rFonts w:hint="eastAsia" w:ascii="微软雅黑" w:hAnsi="微软雅黑" w:cs="宋体"/>
                <w:szCs w:val="21"/>
              </w:rPr>
              <w:t>5、验证方式：刷卡验证、人脸识别验证、二维码验证、二代身份证验证、刷卡+人脸识别验证、人脸识别+体温、人脸识别+二代身份证验证(外接身份证阅读器)</w:t>
            </w:r>
          </w:p>
          <w:p>
            <w:pPr>
              <w:spacing w:after="0"/>
              <w:textAlignment w:val="center"/>
              <w:rPr>
                <w:rFonts w:ascii="微软雅黑" w:hAnsi="微软雅黑" w:cs="宋体"/>
                <w:szCs w:val="21"/>
              </w:rPr>
            </w:pPr>
            <w:r>
              <w:rPr>
                <w:rFonts w:hint="eastAsia" w:ascii="微软雅黑" w:hAnsi="微软雅黑" w:cs="宋体"/>
                <w:szCs w:val="21"/>
              </w:rPr>
              <w:t>6、防信号接入：支持</w:t>
            </w:r>
          </w:p>
          <w:p>
            <w:pPr>
              <w:spacing w:after="0"/>
              <w:textAlignment w:val="center"/>
              <w:rPr>
                <w:rFonts w:ascii="微软雅黑" w:hAnsi="微软雅黑" w:cs="宋体"/>
                <w:szCs w:val="21"/>
              </w:rPr>
            </w:pPr>
            <w:r>
              <w:rPr>
                <w:rFonts w:hint="eastAsia" w:ascii="微软雅黑" w:hAnsi="微软雅黑" w:cs="宋体"/>
                <w:szCs w:val="21"/>
              </w:rPr>
              <w:t>7、遥控器信号接入：支持</w:t>
            </w:r>
          </w:p>
          <w:p>
            <w:pPr>
              <w:spacing w:after="0"/>
              <w:textAlignment w:val="center"/>
              <w:rPr>
                <w:rFonts w:ascii="微软雅黑" w:hAnsi="微软雅黑" w:cs="宋体"/>
                <w:szCs w:val="21"/>
              </w:rPr>
            </w:pPr>
            <w:r>
              <w:rPr>
                <w:rFonts w:hint="eastAsia" w:ascii="微软雅黑" w:hAnsi="微软雅黑" w:cs="宋体"/>
                <w:szCs w:val="21"/>
              </w:rPr>
              <w:t>8、显示屏：支持</w:t>
            </w:r>
          </w:p>
          <w:p>
            <w:pPr>
              <w:spacing w:after="0"/>
              <w:textAlignment w:val="center"/>
              <w:rPr>
                <w:rFonts w:ascii="微软雅黑" w:hAnsi="微软雅黑" w:cs="宋体"/>
                <w:szCs w:val="21"/>
              </w:rPr>
            </w:pPr>
            <w:r>
              <w:rPr>
                <w:rFonts w:hint="eastAsia" w:ascii="微软雅黑" w:hAnsi="微软雅黑" w:cs="宋体"/>
                <w:szCs w:val="21"/>
              </w:rPr>
              <w:t>9、风扇控制：支持</w:t>
            </w:r>
          </w:p>
          <w:p>
            <w:pPr>
              <w:spacing w:after="0"/>
              <w:textAlignment w:val="center"/>
              <w:rPr>
                <w:rFonts w:ascii="微软雅黑" w:hAnsi="微软雅黑" w:cs="宋体"/>
                <w:szCs w:val="21"/>
              </w:rPr>
            </w:pPr>
            <w:r>
              <w:rPr>
                <w:rFonts w:hint="eastAsia" w:ascii="微软雅黑" w:hAnsi="微软雅黑" w:cs="宋体"/>
                <w:szCs w:val="21"/>
              </w:rPr>
              <w:t>10、设备自检：支持</w:t>
            </w:r>
          </w:p>
          <w:p>
            <w:pPr>
              <w:spacing w:after="0"/>
              <w:textAlignment w:val="center"/>
              <w:rPr>
                <w:rFonts w:ascii="微软雅黑" w:hAnsi="微软雅黑" w:cs="宋体"/>
                <w:szCs w:val="21"/>
              </w:rPr>
            </w:pPr>
            <w:r>
              <w:rPr>
                <w:rFonts w:hint="eastAsia" w:ascii="微软雅黑" w:hAnsi="微软雅黑" w:cs="宋体"/>
                <w:szCs w:val="21"/>
              </w:rPr>
              <w:t>11、开关量输出：支持</w:t>
            </w:r>
          </w:p>
          <w:p>
            <w:pPr>
              <w:spacing w:after="0"/>
              <w:textAlignment w:val="center"/>
              <w:rPr>
                <w:rFonts w:ascii="微软雅黑" w:hAnsi="微软雅黑" w:cs="宋体"/>
                <w:szCs w:val="21"/>
              </w:rPr>
            </w:pPr>
            <w:r>
              <w:rPr>
                <w:rFonts w:hint="eastAsia" w:ascii="微软雅黑" w:hAnsi="微软雅黑" w:cs="宋体"/>
                <w:szCs w:val="21"/>
              </w:rPr>
              <w:t>12、输入信号：支持韦根、串口、开关量信号的接入功能</w:t>
            </w:r>
          </w:p>
          <w:p>
            <w:pPr>
              <w:spacing w:after="0"/>
              <w:textAlignment w:val="center"/>
              <w:rPr>
                <w:rFonts w:ascii="微软雅黑" w:hAnsi="微软雅黑" w:cs="宋体"/>
                <w:szCs w:val="21"/>
              </w:rPr>
            </w:pPr>
            <w:r>
              <w:rPr>
                <w:rFonts w:hint="eastAsia" w:ascii="微软雅黑" w:hAnsi="微软雅黑" w:cs="宋体"/>
                <w:szCs w:val="21"/>
              </w:rPr>
              <w:t>13、接口能力：红外传感器输入接口、开闸信号、温湿度传感器接口、韦根信号输入接口、RS-232接口、RJ45以太网接口</w:t>
            </w:r>
          </w:p>
          <w:p>
            <w:pPr>
              <w:spacing w:after="0"/>
              <w:textAlignment w:val="center"/>
              <w:rPr>
                <w:rFonts w:ascii="微软雅黑" w:hAnsi="微软雅黑" w:cs="宋体"/>
                <w:szCs w:val="21"/>
              </w:rPr>
            </w:pPr>
            <w:r>
              <w:rPr>
                <w:rFonts w:hint="eastAsia" w:ascii="微软雅黑" w:hAnsi="微软雅黑" w:cs="宋体"/>
                <w:szCs w:val="21"/>
              </w:rPr>
              <w:t>14、存储容量：支持20万卡片（白名单）、60000脱机记录存储功能</w:t>
            </w:r>
          </w:p>
          <w:p>
            <w:pPr>
              <w:spacing w:after="0"/>
              <w:textAlignment w:val="center"/>
              <w:rPr>
                <w:rFonts w:ascii="微软雅黑" w:hAnsi="微软雅黑" w:cs="宋体"/>
                <w:szCs w:val="21"/>
              </w:rPr>
            </w:pPr>
            <w:r>
              <w:rPr>
                <w:rFonts w:hint="eastAsia" w:ascii="微软雅黑" w:hAnsi="微软雅黑" w:cs="宋体"/>
                <w:szCs w:val="21"/>
              </w:rPr>
              <w:t>15、离线运行：支持</w:t>
            </w:r>
          </w:p>
          <w:p>
            <w:pPr>
              <w:spacing w:after="0"/>
              <w:textAlignment w:val="center"/>
              <w:rPr>
                <w:rFonts w:ascii="微软雅黑" w:hAnsi="微软雅黑" w:cs="宋体"/>
                <w:szCs w:val="21"/>
              </w:rPr>
            </w:pPr>
            <w:r>
              <w:rPr>
                <w:rFonts w:hint="eastAsia" w:ascii="微软雅黑" w:hAnsi="微软雅黑" w:cs="宋体"/>
                <w:szCs w:val="21"/>
              </w:rPr>
              <w:t>16、语音播报：支持</w:t>
            </w:r>
            <w:r>
              <w:rPr>
                <w:rFonts w:hint="eastAsia" w:ascii="微软雅黑" w:hAnsi="微软雅黑" w:cs="宋体"/>
                <w:szCs w:val="21"/>
              </w:rPr>
              <w:tab/>
            </w:r>
            <w:r>
              <w:rPr>
                <w:rFonts w:hint="eastAsia" w:ascii="微软雅黑" w:hAnsi="微软雅黑" w:cs="宋体"/>
                <w:szCs w:val="21"/>
              </w:rPr>
              <w:tab/>
            </w:r>
          </w:p>
          <w:p>
            <w:pPr>
              <w:spacing w:after="0"/>
              <w:textAlignment w:val="center"/>
              <w:rPr>
                <w:rFonts w:ascii="微软雅黑" w:hAnsi="微软雅黑" w:cs="宋体"/>
                <w:szCs w:val="21"/>
              </w:rPr>
            </w:pPr>
            <w:r>
              <w:rPr>
                <w:rFonts w:hint="eastAsia" w:ascii="微软雅黑" w:hAnsi="微软雅黑" w:cs="宋体"/>
                <w:szCs w:val="21"/>
              </w:rPr>
              <w:t>17、音量调节：支持</w:t>
            </w:r>
          </w:p>
          <w:p>
            <w:pPr>
              <w:spacing w:after="0"/>
              <w:textAlignment w:val="center"/>
              <w:rPr>
                <w:rFonts w:ascii="微软雅黑" w:hAnsi="微软雅黑" w:cs="宋体"/>
                <w:szCs w:val="21"/>
              </w:rPr>
            </w:pPr>
            <w:r>
              <w:rPr>
                <w:rFonts w:hint="eastAsia" w:ascii="微软雅黑" w:hAnsi="微软雅黑" w:cs="宋体"/>
                <w:szCs w:val="21"/>
              </w:rPr>
              <w:t>18、自检功能：支持</w:t>
            </w:r>
          </w:p>
          <w:p>
            <w:pPr>
              <w:spacing w:after="0"/>
              <w:textAlignment w:val="center"/>
              <w:rPr>
                <w:rFonts w:ascii="微软雅黑" w:hAnsi="微软雅黑" w:cs="宋体"/>
                <w:szCs w:val="21"/>
              </w:rPr>
            </w:pPr>
            <w:r>
              <w:rPr>
                <w:rFonts w:hint="eastAsia" w:ascii="微软雅黑" w:hAnsi="微软雅黑" w:cs="宋体"/>
                <w:szCs w:val="21"/>
              </w:rPr>
              <w:t>19、状态查看功能检验</w:t>
            </w:r>
          </w:p>
          <w:p>
            <w:pPr>
              <w:spacing w:after="0"/>
              <w:textAlignment w:val="center"/>
              <w:rPr>
                <w:rFonts w:ascii="微软雅黑" w:hAnsi="微软雅黑" w:cs="宋体"/>
                <w:szCs w:val="21"/>
              </w:rPr>
            </w:pPr>
            <w:r>
              <w:rPr>
                <w:rFonts w:hint="eastAsia" w:ascii="微软雅黑" w:hAnsi="微软雅黑" w:cs="宋体"/>
                <w:szCs w:val="21"/>
              </w:rPr>
              <w:t>1）支持推送且可通过管理软件、移动端查看通道进/出次数、红外传感器触发次数、控制器温度数据、湿度数据、控制器电压、启动时间、固件版本、读卡器读卡次数、主电机与从电机动作次数的工作状态数据、消防接口状态、遥控器接口状态；</w:t>
            </w:r>
          </w:p>
          <w:p>
            <w:pPr>
              <w:spacing w:after="0"/>
              <w:textAlignment w:val="center"/>
              <w:rPr>
                <w:rFonts w:ascii="微软雅黑" w:hAnsi="微软雅黑" w:cs="宋体"/>
                <w:szCs w:val="21"/>
              </w:rPr>
            </w:pPr>
            <w:r>
              <w:rPr>
                <w:rFonts w:hint="eastAsia" w:ascii="微软雅黑" w:hAnsi="微软雅黑" w:cs="宋体"/>
                <w:szCs w:val="21"/>
              </w:rPr>
              <w:t>2）支持推送且可通过管理软件、移动端查看设备的开关状态，状态包括软件开闸、按钮开闸、消防开闸、时段开闸、认证开闸、关闸状态、控制器与应用系统的联机状态</w:t>
            </w:r>
          </w:p>
          <w:p>
            <w:pPr>
              <w:spacing w:after="0"/>
              <w:textAlignment w:val="center"/>
              <w:rPr>
                <w:rFonts w:ascii="微软雅黑" w:hAnsi="微软雅黑" w:cs="宋体"/>
                <w:szCs w:val="21"/>
              </w:rPr>
            </w:pPr>
            <w:r>
              <w:rPr>
                <w:rFonts w:hint="eastAsia" w:ascii="微软雅黑" w:hAnsi="微软雅黑" w:cs="宋体"/>
                <w:szCs w:val="21"/>
              </w:rPr>
              <w:t>20、温/湿度监测功能检验</w:t>
            </w:r>
          </w:p>
          <w:p>
            <w:pPr>
              <w:spacing w:after="0"/>
              <w:textAlignment w:val="center"/>
              <w:rPr>
                <w:rFonts w:ascii="微软雅黑" w:hAnsi="微软雅黑" w:cs="宋体"/>
                <w:szCs w:val="21"/>
              </w:rPr>
            </w:pPr>
            <w:r>
              <w:rPr>
                <w:rFonts w:hint="eastAsia" w:ascii="微软雅黑" w:hAnsi="微软雅黑" w:cs="宋体"/>
                <w:szCs w:val="21"/>
              </w:rPr>
              <w:t>可接入不少于≥2路温/湿度传感器，支持温/湿度数据上报</w:t>
            </w:r>
          </w:p>
          <w:p>
            <w:pPr>
              <w:spacing w:after="0"/>
              <w:textAlignment w:val="center"/>
              <w:rPr>
                <w:rFonts w:ascii="微软雅黑" w:hAnsi="微软雅黑" w:cs="宋体"/>
                <w:szCs w:val="21"/>
              </w:rPr>
            </w:pPr>
            <w:r>
              <w:rPr>
                <w:rFonts w:hint="eastAsia" w:ascii="微软雅黑" w:hAnsi="微软雅黑" w:cs="宋体"/>
                <w:szCs w:val="21"/>
              </w:rPr>
              <w:t>21、异常事件推送功能检验</w:t>
            </w:r>
          </w:p>
          <w:p>
            <w:pPr>
              <w:spacing w:after="0"/>
              <w:textAlignment w:val="center"/>
              <w:rPr>
                <w:rFonts w:ascii="微软雅黑" w:hAnsi="微软雅黑" w:cs="宋体"/>
                <w:szCs w:val="21"/>
              </w:rPr>
            </w:pPr>
            <w:r>
              <w:rPr>
                <w:rFonts w:hint="eastAsia" w:ascii="微软雅黑" w:hAnsi="微软雅黑" w:cs="宋体"/>
                <w:szCs w:val="21"/>
              </w:rPr>
              <w:t xml:space="preserve">支持将电机异常状态、红外异常状态、时钟异常状态、电压异常状态、存储器异常状态推送到移动端           </w:t>
            </w:r>
          </w:p>
          <w:p>
            <w:pPr>
              <w:spacing w:after="0"/>
              <w:textAlignment w:val="center"/>
              <w:rPr>
                <w:rFonts w:ascii="微软雅黑" w:hAnsi="微软雅黑" w:cs="宋体"/>
                <w:szCs w:val="21"/>
              </w:rPr>
            </w:pPr>
            <w:r>
              <w:rPr>
                <w:rFonts w:hint="eastAsia" w:ascii="微软雅黑" w:hAnsi="微软雅黑" w:cs="宋体"/>
                <w:szCs w:val="21"/>
              </w:rPr>
              <w:t xml:space="preserve">22、语音播报功能检验 </w:t>
            </w:r>
          </w:p>
          <w:p>
            <w:pPr>
              <w:spacing w:after="0"/>
              <w:textAlignment w:val="center"/>
              <w:rPr>
                <w:rFonts w:ascii="微软雅黑" w:hAnsi="微软雅黑" w:cs="宋体"/>
                <w:szCs w:val="21"/>
              </w:rPr>
            </w:pPr>
            <w:r>
              <w:rPr>
                <w:rFonts w:hint="eastAsia" w:ascii="微软雅黑" w:hAnsi="微软雅黑" w:cs="宋体"/>
                <w:szCs w:val="21"/>
              </w:rPr>
              <w:t>支持按事件进行语音播报，不同事件可播报不同语音，语音包含请勿尾随、请勿翻越、请通行、进向先行或出向先行、对侧有人、禁行时段、请认证、防夹、异常事件等；支持语音远程自动更新 。</w:t>
            </w:r>
          </w:p>
          <w:p>
            <w:pPr>
              <w:spacing w:after="0"/>
              <w:rPr>
                <w:rFonts w:ascii="微软雅黑" w:hAnsi="微软雅黑" w:cs="宋体"/>
                <w:szCs w:val="21"/>
              </w:rPr>
            </w:pPr>
            <w:r>
              <w:rPr>
                <w:rFonts w:hint="eastAsia" w:ascii="微软雅黑" w:hAnsi="微软雅黑" w:cs="宋体"/>
                <w:szCs w:val="21"/>
              </w:rPr>
              <w:t>注：以上参数序号20、22需提（提供具有CMA或CNAS或公安部等权威机构出具的检测报告关键指标页复印件证明，加盖投标人公章）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3" w:type="dxa"/>
            <w:vAlign w:val="center"/>
          </w:tcPr>
          <w:p>
            <w:pPr>
              <w:spacing w:after="0"/>
              <w:jc w:val="center"/>
              <w:textAlignment w:val="center"/>
              <w:rPr>
                <w:rFonts w:ascii="微软雅黑" w:hAnsi="微软雅黑" w:cs="微软雅黑"/>
                <w:szCs w:val="21"/>
              </w:rPr>
            </w:pPr>
            <w:r>
              <w:rPr>
                <w:rFonts w:hint="eastAsia" w:ascii="微软雅黑" w:hAnsi="微软雅黑" w:cs="宋体"/>
                <w:szCs w:val="21"/>
              </w:rPr>
              <w:t>摄像机</w:t>
            </w:r>
          </w:p>
        </w:tc>
        <w:tc>
          <w:tcPr>
            <w:tcW w:w="7782" w:type="dxa"/>
            <w:vAlign w:val="center"/>
          </w:tcPr>
          <w:p>
            <w:pPr>
              <w:spacing w:after="0"/>
              <w:textAlignment w:val="center"/>
              <w:rPr>
                <w:rFonts w:ascii="微软雅黑" w:hAnsi="微软雅黑" w:cs="微软雅黑"/>
                <w:szCs w:val="21"/>
              </w:rPr>
            </w:pPr>
            <w:r>
              <w:rPr>
                <w:rFonts w:hint="eastAsia" w:ascii="微软雅黑" w:hAnsi="微软雅黑" w:cs="微软雅黑"/>
                <w:szCs w:val="21"/>
              </w:rPr>
              <w:t>1、≥400万像素                                                                                                                                            2、补光距离：最大50m（红外补光）</w:t>
            </w:r>
            <w:r>
              <w:rPr>
                <w:rFonts w:hint="eastAsia" w:ascii="微软雅黑" w:hAnsi="微软雅黑" w:cs="微软雅黑"/>
                <w:szCs w:val="21"/>
              </w:rPr>
              <w:br w:type="textWrapping"/>
            </w:r>
            <w:r>
              <w:rPr>
                <w:rFonts w:hint="eastAsia" w:ascii="微软雅黑" w:hAnsi="微软雅黑" w:cs="微软雅黑"/>
                <w:szCs w:val="21"/>
              </w:rPr>
              <w:t>3、镜头：9-22mm  F1.4</w:t>
            </w:r>
            <w:r>
              <w:rPr>
                <w:rFonts w:hint="eastAsia" w:ascii="微软雅黑" w:hAnsi="微软雅黑" w:cs="微软雅黑"/>
                <w:szCs w:val="21"/>
              </w:rPr>
              <w:br w:type="textWrapping"/>
            </w:r>
            <w:r>
              <w:rPr>
                <w:rFonts w:hint="eastAsia" w:ascii="微软雅黑" w:hAnsi="微软雅黑" w:cs="微软雅黑"/>
                <w:szCs w:val="21"/>
              </w:rPr>
              <w:t>4、水平视角：38°~17°</w:t>
            </w:r>
            <w:r>
              <w:rPr>
                <w:rFonts w:hint="eastAsia" w:ascii="微软雅黑" w:hAnsi="微软雅黑" w:cs="微软雅黑"/>
                <w:szCs w:val="21"/>
              </w:rPr>
              <w:br w:type="textWrapping"/>
            </w:r>
            <w:r>
              <w:rPr>
                <w:rFonts w:hint="eastAsia" w:ascii="微软雅黑" w:hAnsi="微软雅黑" w:cs="微软雅黑"/>
                <w:szCs w:val="21"/>
              </w:rPr>
              <w:t>5：视频编码：H.265/H.265+/H.264/MJPEG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003" w:type="dxa"/>
            <w:vAlign w:val="center"/>
          </w:tcPr>
          <w:p>
            <w:pPr>
              <w:spacing w:after="0"/>
              <w:jc w:val="center"/>
              <w:textAlignment w:val="center"/>
              <w:rPr>
                <w:rFonts w:ascii="微软雅黑" w:hAnsi="微软雅黑" w:cs="微软雅黑"/>
                <w:szCs w:val="21"/>
              </w:rPr>
            </w:pPr>
            <w:r>
              <w:rPr>
                <w:rFonts w:hint="eastAsia" w:ascii="微软雅黑" w:hAnsi="微软雅黑" w:cs="宋体"/>
                <w:szCs w:val="21"/>
              </w:rPr>
              <w:t>二维码读头</w:t>
            </w:r>
          </w:p>
        </w:tc>
        <w:tc>
          <w:tcPr>
            <w:tcW w:w="7782" w:type="dxa"/>
            <w:vAlign w:val="center"/>
          </w:tcPr>
          <w:p>
            <w:pPr>
              <w:spacing w:after="0"/>
              <w:textAlignment w:val="center"/>
              <w:rPr>
                <w:rFonts w:ascii="微软雅黑" w:hAnsi="微软雅黑" w:cs="微软雅黑"/>
                <w:szCs w:val="21"/>
              </w:rPr>
            </w:pPr>
            <w:r>
              <w:rPr>
                <w:rFonts w:hint="eastAsia" w:ascii="微软雅黑" w:hAnsi="微软雅黑" w:cs="宋体"/>
                <w:szCs w:val="21"/>
              </w:rPr>
              <w:t>★</w:t>
            </w:r>
            <w:r>
              <w:rPr>
                <w:rFonts w:hint="eastAsia"/>
              </w:rPr>
              <w:t>1、</w:t>
            </w:r>
            <w:r>
              <w:rPr>
                <w:rFonts w:hint="eastAsia" w:ascii="微软雅黑" w:hAnsi="微软雅黑" w:cs="微软雅黑"/>
                <w:szCs w:val="21"/>
              </w:rPr>
              <w:t>识别南医大虚拟校园卡二维码                                                                                                                   2、图像传感器:CMOS</w:t>
            </w:r>
            <w:r>
              <w:rPr>
                <w:rFonts w:hint="eastAsia" w:ascii="微软雅黑" w:hAnsi="微软雅黑" w:cs="微软雅黑"/>
                <w:szCs w:val="21"/>
              </w:rPr>
              <w:br w:type="textWrapping"/>
            </w:r>
            <w:r>
              <w:rPr>
                <w:rFonts w:hint="eastAsia" w:ascii="微软雅黑" w:hAnsi="微软雅黑" w:cs="微软雅黑"/>
                <w:szCs w:val="21"/>
              </w:rPr>
              <w:t>3、像素:不小于752 × 480</w:t>
            </w:r>
            <w:r>
              <w:rPr>
                <w:rFonts w:hint="eastAsia" w:ascii="微软雅黑" w:hAnsi="微软雅黑" w:cs="微软雅黑"/>
                <w:szCs w:val="21"/>
              </w:rPr>
              <w:br w:type="textWrapping"/>
            </w:r>
            <w:r>
              <w:rPr>
                <w:rFonts w:hint="eastAsia"/>
              </w:rPr>
              <w:t>4</w:t>
            </w:r>
            <w:r>
              <w:rPr>
                <w:rFonts w:hint="eastAsia" w:ascii="微软雅黑" w:hAnsi="微软雅黑" w:cs="微软雅黑"/>
                <w:szCs w:val="21"/>
              </w:rPr>
              <w:t>、照明:白光 LED</w:t>
            </w:r>
            <w:r>
              <w:rPr>
                <w:rFonts w:hint="eastAsia" w:ascii="微软雅黑" w:hAnsi="微软雅黑" w:cs="微软雅黑"/>
                <w:szCs w:val="21"/>
              </w:rPr>
              <w:br w:type="textWrapping"/>
            </w:r>
            <w:r>
              <w:rPr>
                <w:rFonts w:hint="eastAsia" w:ascii="微软雅黑" w:hAnsi="微软雅黑" w:cs="微软雅黑"/>
                <w:szCs w:val="21"/>
              </w:rPr>
              <w:t>5、识读码制:2D  PDF417, Data Matrix, QR Code, 汉信码</w:t>
            </w:r>
            <w:r>
              <w:rPr>
                <w:rFonts w:hint="eastAsia" w:ascii="微软雅黑" w:hAnsi="微软雅黑" w:cs="微软雅黑"/>
                <w:szCs w:val="21"/>
              </w:rPr>
              <w:br w:type="textWrapping"/>
            </w:r>
            <w:r>
              <w:rPr>
                <w:rFonts w:hint="eastAsia" w:ascii="微软雅黑" w:hAnsi="微软雅黑" w:cs="微软雅黑"/>
                <w:szCs w:val="21"/>
              </w:rPr>
              <w:t>6、识读精度: ≥5mil</w:t>
            </w:r>
            <w:r>
              <w:rPr>
                <w:rFonts w:hint="eastAsia" w:ascii="微软雅黑" w:hAnsi="微软雅黑" w:cs="微软雅黑"/>
                <w:szCs w:val="21"/>
              </w:rPr>
              <w:br w:type="textWrapping"/>
            </w:r>
            <w:r>
              <w:rPr>
                <w:rFonts w:hint="eastAsia" w:ascii="微软雅黑" w:hAnsi="微软雅黑" w:cs="微软雅黑"/>
                <w:szCs w:val="21"/>
              </w:rPr>
              <w:t>7、识读模式:感应识读</w:t>
            </w:r>
            <w:r>
              <w:rPr>
                <w:rFonts w:hint="eastAsia" w:ascii="微软雅黑" w:hAnsi="微软雅黑" w:cs="微软雅黑"/>
                <w:szCs w:val="21"/>
              </w:rPr>
              <w:br w:type="textWrapping"/>
            </w:r>
            <w:r>
              <w:rPr>
                <w:rFonts w:hint="eastAsia" w:ascii="微软雅黑" w:hAnsi="微软雅黑" w:cs="微软雅黑"/>
                <w:szCs w:val="21"/>
              </w:rPr>
              <w:t>8、条码灵敏度:倾斜(pitch)±40°、旋转(tilt)360°、偏转(skew)±30°</w:t>
            </w:r>
            <w:r>
              <w:rPr>
                <w:rFonts w:hint="eastAsia" w:ascii="微软雅黑" w:hAnsi="微软雅黑" w:cs="微软雅黑"/>
                <w:szCs w:val="21"/>
              </w:rPr>
              <w:br w:type="textWrapping"/>
            </w:r>
            <w:r>
              <w:rPr>
                <w:rFonts w:hint="eastAsia" w:ascii="微软雅黑" w:hAnsi="微软雅黑" w:cs="微软雅黑"/>
                <w:szCs w:val="21"/>
              </w:rPr>
              <w:t>9、视场角度：水平 75°，垂直 50°</w:t>
            </w:r>
            <w:r>
              <w:rPr>
                <w:rFonts w:hint="eastAsia" w:ascii="微软雅黑" w:hAnsi="微软雅黑" w:cs="微软雅黑"/>
                <w:szCs w:val="21"/>
              </w:rPr>
              <w:br w:type="textWrapping"/>
            </w:r>
            <w:r>
              <w:rPr>
                <w:rFonts w:hint="eastAsia" w:ascii="微软雅黑" w:hAnsi="微软雅黑" w:cs="微软雅黑"/>
                <w:szCs w:val="21"/>
              </w:rPr>
              <w:t>10、符号反差：≥25%</w:t>
            </w:r>
            <w:r>
              <w:rPr>
                <w:rFonts w:hint="eastAsia" w:ascii="微软雅黑" w:hAnsi="微软雅黑" w:cs="微软雅黑"/>
                <w:szCs w:val="21"/>
              </w:rPr>
              <w:br w:type="textWrapping"/>
            </w:r>
            <w:r>
              <w:rPr>
                <w:rFonts w:hint="eastAsia" w:ascii="微软雅黑" w:hAnsi="微软雅黑" w:cs="微软雅黑"/>
                <w:szCs w:val="21"/>
              </w:rPr>
              <w:t>11、通讯接口：RS232</w:t>
            </w:r>
            <w:r>
              <w:rPr>
                <w:rFonts w:hint="eastAsia" w:ascii="微软雅黑" w:hAnsi="微软雅黑" w:cs="微软雅黑"/>
                <w:szCs w:val="21"/>
              </w:rPr>
              <w:br w:type="textWrapping"/>
            </w:r>
            <w:r>
              <w:rPr>
                <w:rFonts w:hint="eastAsia" w:ascii="微软雅黑" w:hAnsi="微软雅黑" w:cs="微软雅黑"/>
                <w:szCs w:val="21"/>
              </w:rPr>
              <w:t>12、外观尺寸(mm)：不大于7</w:t>
            </w:r>
            <w:r>
              <w:rPr>
                <w:rFonts w:ascii="微软雅黑" w:hAnsi="微软雅黑" w:cs="微软雅黑"/>
                <w:szCs w:val="21"/>
              </w:rPr>
              <w:t>9</w:t>
            </w:r>
            <w:r>
              <w:rPr>
                <w:rFonts w:hint="eastAsia" w:ascii="微软雅黑" w:hAnsi="微软雅黑" w:cs="微软雅黑"/>
                <w:szCs w:val="21"/>
              </w:rPr>
              <w:t>(W)×6</w:t>
            </w:r>
            <w:r>
              <w:rPr>
                <w:rFonts w:ascii="微软雅黑" w:hAnsi="微软雅黑" w:cs="微软雅黑"/>
                <w:szCs w:val="21"/>
              </w:rPr>
              <w:t>8</w:t>
            </w:r>
            <w:r>
              <w:rPr>
                <w:rFonts w:hint="eastAsia" w:ascii="微软雅黑" w:hAnsi="微软雅黑" w:cs="微软雅黑"/>
                <w:szCs w:val="21"/>
              </w:rPr>
              <w:t>(D)×53(H)mm</w:t>
            </w:r>
          </w:p>
          <w:p>
            <w:pPr>
              <w:spacing w:after="0"/>
              <w:textAlignment w:val="center"/>
              <w:rPr>
                <w:rFonts w:ascii="微软雅黑" w:hAnsi="微软雅黑" w:cs="微软雅黑"/>
                <w:szCs w:val="21"/>
              </w:rPr>
            </w:pPr>
            <w:r>
              <w:rPr>
                <w:rFonts w:hint="eastAsia" w:ascii="微软雅黑" w:hAnsi="微软雅黑" w:cs="微软雅黑"/>
                <w:szCs w:val="21"/>
              </w:rPr>
              <w:t>13、提示方式：蜂鸣器</w:t>
            </w:r>
            <w:r>
              <w:rPr>
                <w:rFonts w:hint="eastAsia" w:ascii="微软雅黑" w:hAnsi="微软雅黑" w:cs="微软雅黑"/>
                <w:szCs w:val="21"/>
              </w:rPr>
              <w:br w:type="textWrapping"/>
            </w:r>
            <w:r>
              <w:rPr>
                <w:rFonts w:hint="eastAsia" w:ascii="微软雅黑" w:hAnsi="微软雅黑" w:cs="微软雅黑"/>
                <w:szCs w:val="21"/>
              </w:rPr>
              <w:t>14、工作电压：5 VDC±5%</w:t>
            </w:r>
            <w:r>
              <w:rPr>
                <w:rFonts w:hint="eastAsia" w:ascii="微软雅黑" w:hAnsi="微软雅黑" w:cs="微软雅黑"/>
                <w:szCs w:val="21"/>
              </w:rPr>
              <w:br w:type="textWrapping"/>
            </w:r>
            <w:r>
              <w:rPr>
                <w:rFonts w:hint="eastAsia" w:ascii="微软雅黑" w:hAnsi="微软雅黑" w:cs="微软雅黑"/>
                <w:szCs w:val="21"/>
              </w:rPr>
              <w:t>15、额定功耗：534mW（典型值）</w:t>
            </w:r>
            <w:r>
              <w:rPr>
                <w:rFonts w:hint="eastAsia" w:ascii="微软雅黑" w:hAnsi="微软雅黑" w:cs="微软雅黑"/>
                <w:szCs w:val="21"/>
              </w:rPr>
              <w:br w:type="textWrapping"/>
            </w:r>
            <w:r>
              <w:rPr>
                <w:rFonts w:hint="eastAsia" w:ascii="微软雅黑" w:hAnsi="微软雅黑" w:cs="微软雅黑"/>
                <w:szCs w:val="21"/>
              </w:rPr>
              <w:t>16、工作电流：108mA（典型值），114mA（最大值）</w:t>
            </w:r>
            <w:r>
              <w:rPr>
                <w:rFonts w:hint="eastAsia" w:ascii="微软雅黑" w:hAnsi="微软雅黑" w:cs="微软雅黑"/>
                <w:szCs w:val="21"/>
              </w:rPr>
              <w:br w:type="textWrapping"/>
            </w:r>
            <w:r>
              <w:rPr>
                <w:rFonts w:hint="eastAsia" w:ascii="微软雅黑" w:hAnsi="微软雅黑" w:cs="微软雅黑"/>
                <w:szCs w:val="21"/>
              </w:rPr>
              <w:t>17、工作温度：-20℃~+60℃</w:t>
            </w:r>
            <w:r>
              <w:rPr>
                <w:rFonts w:hint="eastAsia" w:ascii="微软雅黑" w:hAnsi="微软雅黑" w:cs="微软雅黑"/>
                <w:szCs w:val="21"/>
              </w:rPr>
              <w:br w:type="textWrapping"/>
            </w:r>
            <w:r>
              <w:rPr>
                <w:rFonts w:hint="eastAsia" w:ascii="微软雅黑" w:hAnsi="微软雅黑" w:cs="微软雅黑"/>
                <w:szCs w:val="21"/>
              </w:rPr>
              <w:t>18、存储温度：-40℃~+70℃</w:t>
            </w:r>
            <w:r>
              <w:rPr>
                <w:rFonts w:hint="eastAsia" w:ascii="微软雅黑" w:hAnsi="微软雅黑" w:cs="微软雅黑"/>
                <w:szCs w:val="21"/>
              </w:rPr>
              <w:br w:type="textWrapping"/>
            </w:r>
            <w:r>
              <w:rPr>
                <w:rFonts w:hint="eastAsia" w:ascii="微软雅黑" w:hAnsi="微软雅黑" w:cs="微软雅黑"/>
                <w:szCs w:val="21"/>
              </w:rPr>
              <w:t>19、相对湿度：5%~95%（无凝结）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03" w:type="dxa"/>
            <w:vAlign w:val="center"/>
          </w:tcPr>
          <w:p>
            <w:pPr>
              <w:spacing w:after="0"/>
              <w:jc w:val="center"/>
              <w:textAlignment w:val="center"/>
              <w:rPr>
                <w:rFonts w:ascii="微软雅黑" w:hAnsi="微软雅黑" w:cs="宋体"/>
                <w:szCs w:val="21"/>
              </w:rPr>
            </w:pPr>
            <w:r>
              <w:rPr>
                <w:rFonts w:hint="eastAsia" w:ascii="微软雅黑" w:hAnsi="微软雅黑" w:cs="宋体"/>
                <w:szCs w:val="21"/>
              </w:rPr>
              <w:t>二合一读</w:t>
            </w:r>
          </w:p>
          <w:p>
            <w:pPr>
              <w:spacing w:after="0"/>
              <w:jc w:val="center"/>
              <w:textAlignment w:val="center"/>
              <w:rPr>
                <w:rFonts w:ascii="微软雅黑" w:hAnsi="微软雅黑" w:cs="微软雅黑"/>
                <w:szCs w:val="21"/>
              </w:rPr>
            </w:pPr>
            <w:r>
              <w:rPr>
                <w:rFonts w:hint="eastAsia" w:ascii="微软雅黑" w:hAnsi="微软雅黑" w:cs="宋体"/>
                <w:szCs w:val="21"/>
              </w:rPr>
              <w:t>卡器</w:t>
            </w:r>
          </w:p>
        </w:tc>
        <w:tc>
          <w:tcPr>
            <w:tcW w:w="7782" w:type="dxa"/>
            <w:vAlign w:val="center"/>
          </w:tcPr>
          <w:p>
            <w:pPr>
              <w:spacing w:after="0"/>
              <w:textAlignment w:val="center"/>
              <w:rPr>
                <w:rFonts w:ascii="微软雅黑" w:hAnsi="微软雅黑" w:cs="微软雅黑"/>
                <w:szCs w:val="21"/>
              </w:rPr>
            </w:pPr>
            <w:r>
              <w:rPr>
                <w:rFonts w:hint="eastAsia" w:ascii="微软雅黑" w:hAnsi="微软雅黑" w:cs="宋体"/>
                <w:szCs w:val="21"/>
              </w:rPr>
              <w:t>★</w:t>
            </w:r>
            <w:r>
              <w:rPr>
                <w:rFonts w:hint="eastAsia" w:ascii="微软雅黑" w:hAnsi="微软雅黑" w:cs="微软雅黑"/>
                <w:szCs w:val="21"/>
              </w:rPr>
              <w:t xml:space="preserve">1、功能：操作身份证、M1卡（S50、S70）,CPU卡，读南医大校园卡卡内容； </w:t>
            </w:r>
            <w:r>
              <w:rPr>
                <w:rFonts w:hint="eastAsia" w:ascii="微软雅黑" w:hAnsi="微软雅黑" w:cs="微软雅黑"/>
                <w:szCs w:val="21"/>
              </w:rPr>
              <w:br w:type="textWrapping"/>
            </w:r>
            <w:r>
              <w:rPr>
                <w:rFonts w:hint="eastAsia" w:ascii="微软雅黑" w:hAnsi="微软雅黑" w:cs="微软雅黑"/>
                <w:szCs w:val="21"/>
              </w:rPr>
              <w:t>2、性能：读取身份证时间：≤1.5秒；身份证读卡距离不小于3cm；M1卡读卡距离不小于3cm；符合GA 450、GA467、ISO14443标准；</w:t>
            </w:r>
            <w:r>
              <w:rPr>
                <w:rFonts w:hint="eastAsia" w:ascii="微软雅黑" w:hAnsi="微软雅黑" w:cs="微软雅黑"/>
                <w:szCs w:val="21"/>
              </w:rPr>
              <w:br w:type="textWrapping"/>
            </w:r>
            <w:r>
              <w:rPr>
                <w:rFonts w:hint="eastAsia" w:ascii="微软雅黑" w:hAnsi="微软雅黑" w:cs="微软雅黑"/>
                <w:szCs w:val="21"/>
              </w:rPr>
              <w:t>3、工作条件：工作温度：0～50℃；工作相对湿度：≤90%；储运温度：-40℃~60℃；储运相对湿度（40℃）：20%~93%；大气压力/kPa：60110。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003" w:type="dxa"/>
            <w:vAlign w:val="center"/>
          </w:tcPr>
          <w:p>
            <w:pPr>
              <w:spacing w:after="0"/>
              <w:jc w:val="center"/>
              <w:textAlignment w:val="center"/>
              <w:rPr>
                <w:rFonts w:ascii="微软雅黑" w:hAnsi="微软雅黑" w:cs="微软雅黑"/>
                <w:szCs w:val="21"/>
              </w:rPr>
            </w:pPr>
            <w:r>
              <w:rPr>
                <w:rFonts w:hint="eastAsia" w:ascii="微软雅黑" w:hAnsi="微软雅黑" w:cs="微软雅黑"/>
                <w:szCs w:val="21"/>
              </w:rPr>
              <w:t>软硬件安装调测，施工辅材</w:t>
            </w:r>
          </w:p>
        </w:tc>
        <w:tc>
          <w:tcPr>
            <w:tcW w:w="7782" w:type="dxa"/>
            <w:vAlign w:val="center"/>
          </w:tcPr>
          <w:p>
            <w:pPr>
              <w:spacing w:after="0"/>
              <w:textAlignment w:val="center"/>
              <w:rPr>
                <w:rFonts w:ascii="微软雅黑" w:hAnsi="微软雅黑" w:cs="微软雅黑"/>
                <w:szCs w:val="21"/>
              </w:rPr>
            </w:pPr>
            <w:r>
              <w:rPr>
                <w:rFonts w:hint="eastAsia" w:ascii="微软雅黑" w:hAnsi="微软雅黑" w:cs="微软雅黑"/>
                <w:szCs w:val="21"/>
              </w:rPr>
              <w:t>软硬件安装调测，施工辅材</w:t>
            </w:r>
          </w:p>
        </w:tc>
      </w:tr>
    </w:tbl>
    <w:p>
      <w:pPr>
        <w:pStyle w:val="57"/>
        <w:numPr>
          <w:ilvl w:val="0"/>
          <w:numId w:val="0"/>
        </w:numPr>
        <w:rPr>
          <w:rFonts w:ascii="仿宋" w:hAnsi="仿宋" w:eastAsia="仿宋" w:cs="仿宋"/>
        </w:rPr>
      </w:pPr>
    </w:p>
    <w:p>
      <w:pPr>
        <w:pStyle w:val="57"/>
        <w:numPr>
          <w:ilvl w:val="0"/>
          <w:numId w:val="0"/>
        </w:numPr>
        <w:rPr>
          <w:rFonts w:ascii="仿宋" w:hAnsi="仿宋" w:eastAsia="仿宋" w:cs="仿宋"/>
        </w:rPr>
      </w:pPr>
      <w:r>
        <w:rPr>
          <w:rFonts w:hint="eastAsia" w:ascii="仿宋" w:hAnsi="仿宋" w:eastAsia="仿宋" w:cs="仿宋"/>
        </w:rPr>
        <w:t>四、商务条款：</w:t>
      </w:r>
    </w:p>
    <w:p>
      <w:pPr>
        <w:pStyle w:val="57"/>
        <w:numPr>
          <w:ilvl w:val="0"/>
          <w:numId w:val="0"/>
        </w:numPr>
        <w:rPr>
          <w:rFonts w:ascii="仿宋" w:hAnsi="仿宋" w:eastAsia="仿宋" w:cs="仿宋"/>
        </w:rPr>
      </w:pPr>
      <w:bookmarkStart w:id="172" w:name="_Toc8837"/>
      <w:r>
        <w:rPr>
          <w:rFonts w:hint="eastAsia" w:ascii="仿宋" w:hAnsi="仿宋" w:eastAsia="仿宋" w:cs="仿宋"/>
        </w:rPr>
        <w:t>4.1服务要求</w:t>
      </w:r>
    </w:p>
    <w:p>
      <w:pPr>
        <w:spacing w:line="360" w:lineRule="auto"/>
        <w:ind w:firstLine="220" w:firstLineChars="100"/>
        <w:rPr>
          <w:rFonts w:ascii="宋体" w:hAnsi="宋体" w:cs="宋体"/>
          <w:szCs w:val="21"/>
        </w:rPr>
      </w:pPr>
      <w:r>
        <w:rPr>
          <w:rFonts w:hint="eastAsia" w:ascii="宋体" w:hAnsi="宋体" w:cs="宋体"/>
          <w:b/>
          <w:bCs/>
          <w:szCs w:val="21"/>
        </w:rPr>
        <w:t>（1）技术培训：</w:t>
      </w:r>
      <w:r>
        <w:rPr>
          <w:rFonts w:hint="eastAsia" w:ascii="宋体" w:hAnsi="宋体" w:cs="宋体"/>
          <w:szCs w:val="21"/>
        </w:rPr>
        <w:t>供应商应为采购方进行人员培训，提供每年不少于1次的设备操作培训，对人员培训不低于2人。</w:t>
      </w:r>
    </w:p>
    <w:p>
      <w:pPr>
        <w:spacing w:line="360" w:lineRule="auto"/>
        <w:ind w:firstLine="220" w:firstLineChars="100"/>
        <w:rPr>
          <w:rFonts w:ascii="宋体" w:hAnsi="宋体" w:cs="宋体"/>
          <w:szCs w:val="21"/>
        </w:rPr>
      </w:pPr>
      <w:r>
        <w:rPr>
          <w:rFonts w:hint="eastAsia" w:ascii="宋体" w:hAnsi="宋体" w:cs="宋体"/>
          <w:b/>
          <w:bCs/>
          <w:szCs w:val="21"/>
        </w:rPr>
        <w:t>（2）保修期：</w:t>
      </w:r>
      <w:r>
        <w:rPr>
          <w:rFonts w:hint="eastAsia" w:ascii="宋体" w:hAnsi="宋体" w:cs="宋体"/>
          <w:szCs w:val="21"/>
        </w:rPr>
        <w:t>自验收合格之日起，由供应商提供一年的免费保修服务。</w:t>
      </w:r>
    </w:p>
    <w:p>
      <w:pPr>
        <w:spacing w:line="360" w:lineRule="auto"/>
        <w:ind w:firstLine="220" w:firstLineChars="100"/>
        <w:rPr>
          <w:rFonts w:ascii="宋体" w:hAnsi="宋体" w:cs="宋体"/>
          <w:szCs w:val="21"/>
        </w:rPr>
      </w:pPr>
      <w:r>
        <w:rPr>
          <w:rFonts w:hint="eastAsia" w:ascii="宋体" w:hAnsi="宋体" w:cs="宋体"/>
          <w:b/>
          <w:bCs/>
          <w:szCs w:val="21"/>
        </w:rPr>
        <w:t>（3）售后技术服务要求：</w:t>
      </w:r>
      <w:r>
        <w:rPr>
          <w:rFonts w:hint="eastAsia" w:ascii="宋体" w:hAnsi="宋体" w:cs="宋体"/>
          <w:szCs w:val="21"/>
        </w:rPr>
        <w:t>接到故障通知后8小时内作出答复，一般问题24小时之内解决；若采购方有需求，48小时内到达现场解决；若遇重大问题在一周内解决。</w:t>
      </w:r>
    </w:p>
    <w:p>
      <w:pPr>
        <w:pStyle w:val="57"/>
        <w:numPr>
          <w:ilvl w:val="0"/>
          <w:numId w:val="0"/>
        </w:numPr>
        <w:rPr>
          <w:rFonts w:ascii="仿宋" w:hAnsi="仿宋" w:eastAsia="仿宋" w:cs="仿宋"/>
        </w:rPr>
      </w:pPr>
      <w:r>
        <w:rPr>
          <w:rFonts w:hint="eastAsia" w:ascii="仿宋" w:hAnsi="仿宋" w:eastAsia="仿宋" w:cs="仿宋"/>
        </w:rPr>
        <w:t>4.2安装要求</w:t>
      </w:r>
      <w:bookmarkEnd w:id="172"/>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（1）按照国家现行行业规范标准进行安装，符合国家或行业质量检验评定标准，没有行业标准的产品，投标人应提供相关制造商标准。</w:t>
      </w:r>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（2）设备安装调试：设备到货后，卖方在接到通知的7个工作日内派人前往负责该设备的安装、调试和操作培训，直至达到各项验收指标合格。</w:t>
      </w:r>
    </w:p>
    <w:p/>
    <w:p>
      <w:pPr>
        <w:pStyle w:val="57"/>
        <w:numPr>
          <w:ilvl w:val="0"/>
          <w:numId w:val="0"/>
        </w:numPr>
        <w:rPr>
          <w:rFonts w:ascii="仿宋" w:hAnsi="仿宋" w:eastAsia="仿宋" w:cs="仿宋"/>
        </w:rPr>
      </w:pPr>
      <w:bookmarkStart w:id="173" w:name="_Toc11610"/>
      <w:r>
        <w:rPr>
          <w:rFonts w:hint="eastAsia" w:ascii="仿宋" w:hAnsi="仿宋" w:eastAsia="仿宋" w:cs="仿宋"/>
        </w:rPr>
        <w:t>4.3交货期、交货方式及交货地点</w:t>
      </w:r>
      <w:bookmarkEnd w:id="173"/>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（1）交货期：</w:t>
      </w:r>
      <w:r>
        <w:rPr>
          <w:rFonts w:ascii="微软雅黑" w:hAnsi="微软雅黑" w:cs="微软雅黑"/>
          <w:szCs w:val="21"/>
        </w:rPr>
        <w:t>15日</w:t>
      </w:r>
      <w:r>
        <w:rPr>
          <w:rFonts w:hint="eastAsia" w:ascii="微软雅黑" w:hAnsi="微软雅黑" w:cs="微软雅黑"/>
          <w:szCs w:val="21"/>
        </w:rPr>
        <w:t>内全部设备、材料运抵现场，并安装、调试结束，验收合格，交付买方使用。</w:t>
      </w:r>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（2）交货方式：中标人在买方指定地点交货，并完成安装、调试。</w:t>
      </w:r>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（3）交货地点：南京医科大学。</w:t>
      </w:r>
    </w:p>
    <w:p>
      <w:pPr>
        <w:pStyle w:val="11"/>
        <w:ind w:left="0" w:leftChars="0"/>
      </w:pPr>
    </w:p>
    <w:p>
      <w:pPr>
        <w:pStyle w:val="57"/>
        <w:numPr>
          <w:ilvl w:val="0"/>
          <w:numId w:val="0"/>
        </w:numPr>
        <w:rPr>
          <w:rFonts w:ascii="仿宋" w:hAnsi="仿宋" w:eastAsia="仿宋" w:cs="仿宋"/>
        </w:rPr>
      </w:pPr>
      <w:bookmarkStart w:id="174" w:name="_Toc18026"/>
      <w:r>
        <w:rPr>
          <w:rFonts w:hint="eastAsia" w:ascii="仿宋" w:hAnsi="仿宋" w:eastAsia="仿宋" w:cs="仿宋"/>
        </w:rPr>
        <w:t>4.4其他技术服务需求</w:t>
      </w:r>
      <w:bookmarkEnd w:id="174"/>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（1）供应商须保证本次投标产品系优质材料和先进工艺制成新出厂的产品，且完全与投标文件所述相符。</w:t>
      </w:r>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（2）交付使用前发生的产品硬件损坏和不合格，一律退换新品。在质保期开始的前三个月内，若发生产品损坏和性能不合格（非使用不当原因造成），除采购人同意修理者外，亦应退换新品。</w:t>
      </w:r>
    </w:p>
    <w:p>
      <w:pPr>
        <w:rPr>
          <w:b/>
          <w:bCs/>
        </w:rPr>
      </w:pPr>
    </w:p>
    <w:p>
      <w:pPr>
        <w:pStyle w:val="57"/>
        <w:numPr>
          <w:ilvl w:val="0"/>
          <w:numId w:val="0"/>
        </w:numPr>
        <w:rPr>
          <w:rFonts w:ascii="仿宋" w:hAnsi="仿宋" w:eastAsia="仿宋" w:cs="仿宋"/>
        </w:rPr>
      </w:pPr>
      <w:bookmarkStart w:id="175" w:name="_Toc16384"/>
      <w:r>
        <w:rPr>
          <w:rFonts w:hint="eastAsia" w:ascii="仿宋" w:hAnsi="仿宋" w:eastAsia="仿宋" w:cs="仿宋"/>
        </w:rPr>
        <w:t>4.5货款支付</w:t>
      </w:r>
      <w:bookmarkEnd w:id="175"/>
    </w:p>
    <w:p>
      <w:pPr>
        <w:pStyle w:val="17"/>
        <w:spacing w:before="0" w:beforeAutospacing="0" w:after="0" w:afterAutospacing="0" w:line="440" w:lineRule="exact"/>
        <w:ind w:firstLine="420" w:firstLineChars="200"/>
        <w:rPr>
          <w:kern w:val="2"/>
          <w:sz w:val="21"/>
          <w:szCs w:val="21"/>
        </w:rPr>
      </w:pPr>
      <w:r>
        <w:rPr>
          <w:rFonts w:hint="eastAsia"/>
          <w:kern w:val="2"/>
          <w:sz w:val="21"/>
          <w:szCs w:val="21"/>
        </w:rPr>
        <w:t>货物交付且安装、调试后，并通过验收后一周内使用方支付合同总金额的90%，付款之前需收到中标方开具的合法有效的相应金额发票；自验收合格日起，使用方正常使用满一年后的一周内，支付剩余合同总金额的10%。</w:t>
      </w:r>
    </w:p>
    <w:p/>
    <w:p/>
    <w:p>
      <w:pPr>
        <w:pStyle w:val="2"/>
        <w:keepNext w:val="0"/>
        <w:keepLines/>
        <w:spacing w:line="360" w:lineRule="auto"/>
        <w:ind w:firstLine="1325" w:firstLineChars="300"/>
        <w:jc w:val="both"/>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30"/>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bookmarkEnd w:id="167"/>
    <w:tbl>
      <w:tblPr>
        <w:tblStyle w:val="2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3"/>
        <w:gridCol w:w="1134"/>
        <w:gridCol w:w="70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710" w:type="dxa"/>
            <w:vAlign w:val="center"/>
          </w:tcPr>
          <w:p>
            <w:pPr>
              <w:spacing w:line="400" w:lineRule="exact"/>
              <w:jc w:val="center"/>
              <w:rPr>
                <w:rFonts w:ascii="微软雅黑" w:hAnsi="微软雅黑" w:cs="微软雅黑"/>
                <w:b/>
                <w:szCs w:val="21"/>
              </w:rPr>
            </w:pPr>
            <w:bookmarkStart w:id="176" w:name="_Toc523931349"/>
            <w:r>
              <w:rPr>
                <w:rFonts w:hint="eastAsia" w:ascii="微软雅黑" w:hAnsi="微软雅黑" w:cs="微软雅黑"/>
                <w:b/>
                <w:szCs w:val="21"/>
              </w:rPr>
              <w:t>序号</w:t>
            </w:r>
          </w:p>
        </w:tc>
        <w:tc>
          <w:tcPr>
            <w:tcW w:w="993" w:type="dxa"/>
            <w:vAlign w:val="center"/>
          </w:tcPr>
          <w:p>
            <w:pPr>
              <w:spacing w:line="400" w:lineRule="exact"/>
              <w:jc w:val="center"/>
              <w:rPr>
                <w:rFonts w:ascii="微软雅黑" w:hAnsi="微软雅黑" w:cs="微软雅黑"/>
                <w:b/>
                <w:szCs w:val="21"/>
              </w:rPr>
            </w:pPr>
            <w:r>
              <w:rPr>
                <w:rFonts w:hint="eastAsia" w:ascii="微软雅黑" w:hAnsi="微软雅黑" w:cs="微软雅黑"/>
                <w:b/>
                <w:szCs w:val="21"/>
              </w:rPr>
              <w:t>类别</w:t>
            </w:r>
          </w:p>
        </w:tc>
        <w:tc>
          <w:tcPr>
            <w:tcW w:w="1134" w:type="dxa"/>
            <w:vAlign w:val="center"/>
          </w:tcPr>
          <w:p>
            <w:pPr>
              <w:spacing w:line="400" w:lineRule="exact"/>
              <w:jc w:val="center"/>
              <w:rPr>
                <w:rFonts w:ascii="微软雅黑" w:hAnsi="微软雅黑" w:cs="微软雅黑"/>
                <w:b/>
                <w:szCs w:val="21"/>
              </w:rPr>
            </w:pPr>
            <w:r>
              <w:rPr>
                <w:rFonts w:hint="eastAsia" w:ascii="微软雅黑" w:hAnsi="微软雅黑" w:cs="微软雅黑"/>
                <w:b/>
                <w:szCs w:val="21"/>
              </w:rPr>
              <w:t>评分因素</w:t>
            </w:r>
          </w:p>
        </w:tc>
        <w:tc>
          <w:tcPr>
            <w:tcW w:w="708" w:type="dxa"/>
            <w:vAlign w:val="center"/>
          </w:tcPr>
          <w:p>
            <w:pPr>
              <w:spacing w:line="400" w:lineRule="exact"/>
              <w:jc w:val="center"/>
              <w:rPr>
                <w:rFonts w:ascii="微软雅黑" w:hAnsi="微软雅黑" w:cs="微软雅黑"/>
                <w:b/>
                <w:szCs w:val="21"/>
              </w:rPr>
            </w:pPr>
            <w:r>
              <w:rPr>
                <w:rFonts w:hint="eastAsia" w:ascii="微软雅黑" w:hAnsi="微软雅黑" w:cs="微软雅黑"/>
                <w:b/>
                <w:szCs w:val="21"/>
              </w:rPr>
              <w:t>分值</w:t>
            </w:r>
          </w:p>
        </w:tc>
        <w:tc>
          <w:tcPr>
            <w:tcW w:w="6379" w:type="dxa"/>
            <w:vAlign w:val="center"/>
          </w:tcPr>
          <w:p>
            <w:pPr>
              <w:spacing w:line="400" w:lineRule="exact"/>
              <w:jc w:val="center"/>
              <w:rPr>
                <w:rFonts w:ascii="微软雅黑" w:hAnsi="微软雅黑" w:cs="微软雅黑"/>
                <w:b/>
                <w:szCs w:val="21"/>
              </w:rPr>
            </w:pPr>
            <w:r>
              <w:rPr>
                <w:rFonts w:hint="eastAsia" w:ascii="微软雅黑" w:hAnsi="微软雅黑" w:cs="微软雅黑"/>
                <w:b/>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10"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w:t>
            </w:r>
          </w:p>
        </w:tc>
        <w:tc>
          <w:tcPr>
            <w:tcW w:w="99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价格分</w:t>
            </w:r>
          </w:p>
        </w:tc>
        <w:tc>
          <w:tcPr>
            <w:tcW w:w="113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投标报价</w:t>
            </w:r>
          </w:p>
        </w:tc>
        <w:tc>
          <w:tcPr>
            <w:tcW w:w="708" w:type="dxa"/>
            <w:vAlign w:val="center"/>
          </w:tcPr>
          <w:p>
            <w:pPr>
              <w:spacing w:line="400" w:lineRule="exact"/>
              <w:jc w:val="center"/>
              <w:rPr>
                <w:rFonts w:ascii="微软雅黑" w:hAnsi="微软雅黑" w:cs="微软雅黑"/>
                <w:spacing w:val="6"/>
                <w:szCs w:val="21"/>
                <w:lang w:bidi="ar"/>
              </w:rPr>
            </w:pPr>
            <w:r>
              <w:rPr>
                <w:rFonts w:hint="eastAsia" w:ascii="微软雅黑" w:hAnsi="微软雅黑" w:cs="微软雅黑"/>
                <w:bCs/>
                <w:szCs w:val="21"/>
              </w:rPr>
              <w:t>30</w:t>
            </w:r>
          </w:p>
        </w:tc>
        <w:tc>
          <w:tcPr>
            <w:tcW w:w="6379" w:type="dxa"/>
            <w:vAlign w:val="center"/>
          </w:tcPr>
          <w:p>
            <w:pPr>
              <w:spacing w:line="400" w:lineRule="exact"/>
              <w:rPr>
                <w:rFonts w:ascii="微软雅黑" w:hAnsi="微软雅黑" w:cs="微软雅黑"/>
                <w:spacing w:val="6"/>
                <w:szCs w:val="21"/>
              </w:rPr>
            </w:pPr>
            <w:r>
              <w:rPr>
                <w:rFonts w:hint="eastAsia" w:ascii="宋体" w:hAnsi="宋体" w:cs="宋体"/>
                <w:szCs w:val="21"/>
              </w:rPr>
              <w:t>本次招标，以进入详细评审的各投标人评标价的最低值为A值，A值为价格分的满分，即30分。其他投标人的价格分统一按照以下公式计算：投标人评标价得分=（A／该投标人评标价）×30。（保留小数点后两位）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jc w:val="center"/>
        </w:trPr>
        <w:tc>
          <w:tcPr>
            <w:tcW w:w="710" w:type="dxa"/>
            <w:vMerge w:val="restart"/>
            <w:vAlign w:val="center"/>
          </w:tcPr>
          <w:p>
            <w:pPr>
              <w:spacing w:line="400" w:lineRule="exact"/>
              <w:jc w:val="center"/>
              <w:rPr>
                <w:rFonts w:ascii="微软雅黑" w:hAnsi="微软雅黑" w:cs="微软雅黑"/>
                <w:bCs/>
                <w:szCs w:val="21"/>
              </w:rPr>
            </w:pPr>
            <w:r>
              <w:rPr>
                <w:rFonts w:ascii="微软雅黑" w:hAnsi="微软雅黑" w:cs="微软雅黑"/>
                <w:bCs/>
                <w:szCs w:val="21"/>
              </w:rPr>
              <w:t>2</w:t>
            </w:r>
          </w:p>
        </w:tc>
        <w:tc>
          <w:tcPr>
            <w:tcW w:w="993" w:type="dxa"/>
            <w:vMerge w:val="restart"/>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商务</w:t>
            </w: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技术参数</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bCs/>
                <w:szCs w:val="21"/>
              </w:rPr>
              <w:t>3</w:t>
            </w:r>
            <w:r>
              <w:rPr>
                <w:rFonts w:ascii="微软雅黑" w:hAnsi="微软雅黑" w:cs="微软雅黑"/>
                <w:bCs/>
                <w:szCs w:val="21"/>
              </w:rPr>
              <w:t>2</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投标产品全部满足采购文件的技术参数要求的得满分3</w:t>
            </w:r>
            <w:r>
              <w:rPr>
                <w:rFonts w:ascii="微软雅黑" w:hAnsi="微软雅黑" w:cs="微软雅黑"/>
                <w:spacing w:val="6"/>
                <w:szCs w:val="21"/>
              </w:rPr>
              <w:t>2</w:t>
            </w:r>
            <w:r>
              <w:rPr>
                <w:rFonts w:hint="eastAsia" w:ascii="微软雅黑" w:hAnsi="微软雅黑" w:cs="微软雅黑"/>
                <w:spacing w:val="6"/>
                <w:szCs w:val="21"/>
              </w:rPr>
              <w:t>分。</w:t>
            </w:r>
          </w:p>
          <w:p>
            <w:pPr>
              <w:spacing w:line="400" w:lineRule="exact"/>
              <w:rPr>
                <w:rFonts w:ascii="微软雅黑" w:hAnsi="微软雅黑" w:cs="微软雅黑"/>
                <w:spacing w:val="6"/>
                <w:szCs w:val="21"/>
              </w:rPr>
            </w:pPr>
            <w:r>
              <w:rPr>
                <w:rFonts w:hint="eastAsia" w:ascii="微软雅黑" w:hAnsi="微软雅黑" w:cs="微软雅黑"/>
                <w:spacing w:val="6"/>
                <w:szCs w:val="21"/>
              </w:rPr>
              <w:t>带“</w:t>
            </w:r>
            <w:r>
              <w:rPr>
                <w:rFonts w:hint="eastAsia" w:ascii="微软雅黑" w:hAnsi="微软雅黑" w:cs="微软雅黑"/>
                <w:b/>
                <w:bCs/>
                <w:szCs w:val="21"/>
              </w:rPr>
              <w:t>★</w:t>
            </w:r>
            <w:r>
              <w:rPr>
                <w:rFonts w:hint="eastAsia" w:ascii="微软雅黑" w:hAnsi="微软雅黑" w:cs="微软雅黑"/>
                <w:spacing w:val="6"/>
                <w:szCs w:val="21"/>
              </w:rPr>
              <w:t>”条款为实质性参数必须满足，实质性参数不满足的，作无效投标处理。带“▲”条款存在负偏离的，每一条负偏离扣3分；</w:t>
            </w:r>
          </w:p>
          <w:p>
            <w:pPr>
              <w:spacing w:line="400" w:lineRule="exact"/>
              <w:rPr>
                <w:rFonts w:ascii="微软雅黑" w:hAnsi="微软雅黑" w:cs="微软雅黑"/>
                <w:spacing w:val="6"/>
                <w:szCs w:val="21"/>
              </w:rPr>
            </w:pPr>
            <w:r>
              <w:rPr>
                <w:rFonts w:hint="eastAsia" w:ascii="微软雅黑" w:hAnsi="微软雅黑" w:cs="微软雅黑"/>
                <w:spacing w:val="6"/>
                <w:szCs w:val="21"/>
              </w:rPr>
              <w:t>其他技术参数负偏离每一条扣1分；扣完为止。</w:t>
            </w:r>
          </w:p>
          <w:p>
            <w:pPr>
              <w:spacing w:line="400" w:lineRule="exact"/>
              <w:rPr>
                <w:rFonts w:ascii="微软雅黑" w:hAnsi="微软雅黑" w:cs="微软雅黑"/>
                <w:spacing w:val="6"/>
                <w:szCs w:val="21"/>
              </w:rPr>
            </w:pPr>
            <w:r>
              <w:rPr>
                <w:rFonts w:hint="eastAsia" w:ascii="微软雅黑" w:hAnsi="微软雅黑" w:cs="微软雅黑"/>
                <w:spacing w:val="6"/>
                <w:szCs w:val="21"/>
              </w:rPr>
              <w:t>以</w:t>
            </w:r>
            <w:r>
              <w:rPr>
                <w:rFonts w:hint="eastAsia" w:ascii="微软雅黑" w:hAnsi="微软雅黑" w:cs="微软雅黑"/>
                <w:szCs w:val="21"/>
              </w:rPr>
              <w:t>投标供应商</w:t>
            </w:r>
            <w:r>
              <w:rPr>
                <w:rFonts w:hint="eastAsia" w:ascii="微软雅黑" w:hAnsi="微软雅黑" w:cs="微软雅黑"/>
                <w:spacing w:val="6"/>
                <w:szCs w:val="21"/>
              </w:rPr>
              <w:t>提供的技术要求响应表为准，</w:t>
            </w:r>
            <w:r>
              <w:rPr>
                <w:rFonts w:hint="eastAsia" w:ascii="微软雅黑" w:hAnsi="微软雅黑" w:cs="微软雅黑"/>
                <w:szCs w:val="21"/>
              </w:rPr>
              <w:t>投标供应商</w:t>
            </w:r>
            <w:r>
              <w:rPr>
                <w:rFonts w:hint="eastAsia" w:ascii="微软雅黑" w:hAnsi="微软雅黑" w:cs="微软雅黑"/>
                <w:spacing w:val="6"/>
                <w:szCs w:val="21"/>
              </w:rPr>
              <w:t>需在“技术要求响应表”中如实详细填列所投产品的参数及服务承诺，</w:t>
            </w:r>
            <w:r>
              <w:rPr>
                <w:rFonts w:hint="eastAsia" w:ascii="微软雅黑" w:hAnsi="微软雅黑" w:cs="微软雅黑"/>
              </w:rPr>
              <w:t>并按采购文件要求提供相应证明材料，在偏离表中标明证明材料所在页码。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710" w:type="dxa"/>
            <w:vMerge w:val="continue"/>
            <w:vAlign w:val="center"/>
          </w:tcPr>
          <w:p>
            <w:pPr>
              <w:spacing w:line="400" w:lineRule="exact"/>
              <w:jc w:val="center"/>
              <w:rPr>
                <w:rFonts w:ascii="微软雅黑" w:hAnsi="微软雅黑" w:cs="微软雅黑"/>
                <w:bCs/>
                <w:szCs w:val="21"/>
              </w:rPr>
            </w:pP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企业能力</w:t>
            </w:r>
          </w:p>
        </w:tc>
        <w:tc>
          <w:tcPr>
            <w:tcW w:w="708" w:type="dxa"/>
            <w:vAlign w:val="center"/>
          </w:tcPr>
          <w:p>
            <w:pPr>
              <w:spacing w:line="400" w:lineRule="exact"/>
              <w:jc w:val="center"/>
              <w:rPr>
                <w:rFonts w:ascii="微软雅黑" w:hAnsi="微软雅黑" w:cs="微软雅黑"/>
                <w:color w:val="FF0000"/>
                <w:szCs w:val="21"/>
              </w:rPr>
            </w:pPr>
            <w:r>
              <w:rPr>
                <w:rFonts w:hint="eastAsia" w:ascii="微软雅黑" w:hAnsi="微软雅黑" w:cs="微软雅黑"/>
                <w:spacing w:val="6"/>
                <w:szCs w:val="21"/>
              </w:rPr>
              <w:t>4</w:t>
            </w:r>
          </w:p>
        </w:tc>
        <w:tc>
          <w:tcPr>
            <w:tcW w:w="6379" w:type="dxa"/>
            <w:vAlign w:val="center"/>
          </w:tcPr>
          <w:p>
            <w:pPr>
              <w:spacing w:line="400" w:lineRule="exact"/>
              <w:rPr>
                <w:rFonts w:ascii="微软雅黑" w:hAnsi="微软雅黑" w:cs="微软雅黑"/>
                <w:color w:val="FF0000"/>
                <w:spacing w:val="6"/>
                <w:szCs w:val="21"/>
              </w:rPr>
            </w:pPr>
            <w:r>
              <w:rPr>
                <w:rFonts w:hint="eastAsia" w:ascii="微软雅黑" w:hAnsi="微软雅黑" w:cs="微软雅黑"/>
                <w:spacing w:val="6"/>
                <w:szCs w:val="21"/>
              </w:rPr>
              <w:t>投标产品具有人脸识别出入管理系统、生物识别大数据管理平台、人脸特征库管理平台、智慧公寓管理系统的计算机软件著作权登记证书。每提供1个软件著作权登记证书得</w:t>
            </w:r>
            <w:r>
              <w:rPr>
                <w:rFonts w:ascii="微软雅黑" w:hAnsi="微软雅黑" w:cs="微软雅黑"/>
                <w:spacing w:val="6"/>
                <w:szCs w:val="21"/>
              </w:rPr>
              <w:t>1</w:t>
            </w:r>
            <w:r>
              <w:rPr>
                <w:rFonts w:hint="eastAsia" w:ascii="微软雅黑" w:hAnsi="微软雅黑" w:cs="微软雅黑"/>
                <w:spacing w:val="6"/>
                <w:szCs w:val="21"/>
              </w:rPr>
              <w:t>分，最多得</w:t>
            </w:r>
            <w:r>
              <w:rPr>
                <w:rFonts w:ascii="微软雅黑" w:hAnsi="微软雅黑" w:cs="微软雅黑"/>
                <w:spacing w:val="6"/>
                <w:szCs w:val="21"/>
              </w:rPr>
              <w:t>4</w:t>
            </w:r>
            <w:r>
              <w:rPr>
                <w:rFonts w:hint="eastAsia" w:ascii="微软雅黑" w:hAnsi="微软雅黑" w:cs="微软雅黑"/>
                <w:spacing w:val="6"/>
                <w:szCs w:val="21"/>
              </w:rPr>
              <w:t>分。提供有效的证书复印件，软件登记名称可不完全相同，不提供或不符合不得分，原件备查。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10" w:type="dxa"/>
            <w:vMerge w:val="continue"/>
            <w:vAlign w:val="center"/>
          </w:tcPr>
          <w:p>
            <w:pPr>
              <w:spacing w:line="400" w:lineRule="exact"/>
              <w:jc w:val="center"/>
              <w:rPr>
                <w:rFonts w:ascii="微软雅黑" w:hAnsi="微软雅黑" w:cs="微软雅黑"/>
                <w:bCs/>
                <w:szCs w:val="21"/>
              </w:rPr>
            </w:pP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360" w:lineRule="auto"/>
              <w:jc w:val="center"/>
              <w:rPr>
                <w:rFonts w:ascii="微软雅黑" w:hAnsi="微软雅黑" w:cs="微软雅黑"/>
                <w:spacing w:val="6"/>
                <w:szCs w:val="21"/>
              </w:rPr>
            </w:pPr>
            <w:r>
              <w:rPr>
                <w:rFonts w:hint="eastAsia" w:ascii="微软雅黑" w:hAnsi="微软雅黑" w:cs="微软雅黑"/>
                <w:szCs w:val="21"/>
              </w:rPr>
              <w:t>业绩</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bCs/>
                <w:szCs w:val="21"/>
              </w:rPr>
              <w:t>6</w:t>
            </w:r>
          </w:p>
        </w:tc>
        <w:tc>
          <w:tcPr>
            <w:tcW w:w="6379" w:type="dxa"/>
            <w:vAlign w:val="center"/>
          </w:tcPr>
          <w:p>
            <w:pPr>
              <w:spacing w:line="400" w:lineRule="exact"/>
            </w:pPr>
            <w:r>
              <w:rPr>
                <w:rFonts w:hint="eastAsia" w:ascii="微软雅黑" w:hAnsi="微软雅黑" w:cs="微软雅黑"/>
                <w:spacing w:val="6"/>
                <w:szCs w:val="21"/>
              </w:rPr>
              <w:t>投标人20</w:t>
            </w:r>
            <w:r>
              <w:rPr>
                <w:rFonts w:ascii="微软雅黑" w:hAnsi="微软雅黑" w:cs="微软雅黑"/>
                <w:spacing w:val="6"/>
                <w:szCs w:val="21"/>
              </w:rPr>
              <w:t>20</w:t>
            </w:r>
            <w:r>
              <w:rPr>
                <w:rFonts w:hint="eastAsia" w:ascii="微软雅黑" w:hAnsi="微软雅黑" w:cs="微软雅黑"/>
                <w:spacing w:val="6"/>
                <w:szCs w:val="21"/>
              </w:rPr>
              <w:t>年9月1日以来的类似项目业绩，每提供一个业绩得1分，最高得6分。（提供有效的合同复印件及合同甲方项目联系人信息，以合同签订时间为准，原件备查。未按要求提供的不得分。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10"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3</w:t>
            </w: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360" w:lineRule="auto"/>
              <w:jc w:val="center"/>
              <w:rPr>
                <w:rFonts w:ascii="微软雅黑" w:hAnsi="微软雅黑" w:cs="微软雅黑"/>
                <w:szCs w:val="21"/>
              </w:rPr>
            </w:pPr>
            <w:r>
              <w:rPr>
                <w:rFonts w:hint="eastAsia" w:ascii="微软雅黑" w:hAnsi="微软雅黑" w:cs="微软雅黑"/>
                <w:szCs w:val="21"/>
              </w:rPr>
              <w:t>演示</w:t>
            </w:r>
          </w:p>
        </w:tc>
        <w:tc>
          <w:tcPr>
            <w:tcW w:w="708" w:type="dxa"/>
            <w:vAlign w:val="center"/>
          </w:tcPr>
          <w:p>
            <w:pPr>
              <w:spacing w:line="400" w:lineRule="exact"/>
              <w:jc w:val="center"/>
              <w:rPr>
                <w:rFonts w:ascii="微软雅黑" w:hAnsi="微软雅黑" w:cs="微软雅黑"/>
                <w:color w:val="FF0000"/>
                <w:spacing w:val="6"/>
                <w:szCs w:val="21"/>
              </w:rPr>
            </w:pPr>
            <w:r>
              <w:rPr>
                <w:rFonts w:hint="eastAsia" w:ascii="微软雅黑" w:hAnsi="微软雅黑" w:cs="微软雅黑"/>
                <w:bCs/>
                <w:szCs w:val="21"/>
              </w:rPr>
              <w:t>12</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投标人针对本项目中的演示要求，进行流畅预录视频演示。演示时间不超过15分钟，每个演示项目，均应按照演示要求进行演示。</w:t>
            </w:r>
          </w:p>
          <w:p>
            <w:pPr>
              <w:spacing w:line="400" w:lineRule="exact"/>
              <w:rPr>
                <w:rFonts w:ascii="微软雅黑" w:hAnsi="微软雅黑" w:cs="微软雅黑"/>
                <w:spacing w:val="6"/>
                <w:szCs w:val="21"/>
              </w:rPr>
            </w:pPr>
            <w:r>
              <w:rPr>
                <w:rFonts w:hint="eastAsia" w:ascii="微软雅黑" w:hAnsi="微软雅黑" w:cs="微软雅黑"/>
                <w:spacing w:val="6"/>
                <w:szCs w:val="21"/>
              </w:rPr>
              <w:t>1、支持按照图表、楼栋、系别等不同维度进行快速查寝。（此项得</w:t>
            </w:r>
            <w:r>
              <w:rPr>
                <w:rFonts w:ascii="微软雅黑" w:hAnsi="微软雅黑" w:cs="微软雅黑"/>
                <w:spacing w:val="6"/>
                <w:szCs w:val="21"/>
              </w:rPr>
              <w:t>3</w:t>
            </w:r>
            <w:r>
              <w:rPr>
                <w:rFonts w:hint="eastAsia" w:ascii="微软雅黑" w:hAnsi="微软雅黑" w:cs="微软雅黑"/>
                <w:spacing w:val="6"/>
                <w:szCs w:val="21"/>
              </w:rPr>
              <w:t>分，无演示或演示不成功不得分。）</w:t>
            </w:r>
          </w:p>
          <w:p>
            <w:pPr>
              <w:spacing w:line="400" w:lineRule="exact"/>
              <w:rPr>
                <w:rFonts w:ascii="微软雅黑" w:hAnsi="微软雅黑" w:cs="微软雅黑"/>
                <w:spacing w:val="6"/>
                <w:szCs w:val="21"/>
              </w:rPr>
            </w:pPr>
            <w:r>
              <w:rPr>
                <w:rFonts w:hint="eastAsia" w:ascii="微软雅黑" w:hAnsi="微软雅黑" w:cs="微软雅黑"/>
                <w:spacing w:val="6"/>
                <w:szCs w:val="21"/>
              </w:rPr>
              <w:t>2、数据驾驶舱功能：采用态势屏展示晚归、未归、楼栋归寝率、辅导员排名、出入数据统计，违规行为图片曝光等功能。（此项得</w:t>
            </w:r>
            <w:r>
              <w:rPr>
                <w:rFonts w:ascii="微软雅黑" w:hAnsi="微软雅黑" w:cs="微软雅黑"/>
                <w:spacing w:val="6"/>
                <w:szCs w:val="21"/>
              </w:rPr>
              <w:t>2</w:t>
            </w:r>
            <w:r>
              <w:rPr>
                <w:rFonts w:hint="eastAsia" w:ascii="微软雅黑" w:hAnsi="微软雅黑" w:cs="微软雅黑"/>
                <w:spacing w:val="6"/>
                <w:szCs w:val="21"/>
              </w:rPr>
              <w:t>分，无演示或演示不成功不得分。）</w:t>
            </w:r>
          </w:p>
          <w:p>
            <w:pPr>
              <w:spacing w:line="400" w:lineRule="exact"/>
              <w:rPr>
                <w:rFonts w:ascii="微软雅黑" w:hAnsi="微软雅黑" w:cs="微软雅黑"/>
                <w:spacing w:val="6"/>
                <w:szCs w:val="21"/>
              </w:rPr>
            </w:pPr>
            <w:r>
              <w:rPr>
                <w:rFonts w:hint="eastAsia" w:ascii="微软雅黑" w:hAnsi="微软雅黑" w:cs="微软雅黑"/>
                <w:spacing w:val="6"/>
                <w:szCs w:val="21"/>
              </w:rPr>
              <w:t>3、移动端管理：支持定时推送宿舍考勤信息，并支持查询未归寝、晚归、长时间未进出等未归或预警信息，支持管理人员对未归预警人员进行标记处理。（此项得</w:t>
            </w:r>
            <w:r>
              <w:rPr>
                <w:rFonts w:ascii="微软雅黑" w:hAnsi="微软雅黑" w:cs="微软雅黑"/>
                <w:spacing w:val="6"/>
                <w:szCs w:val="21"/>
              </w:rPr>
              <w:t>2</w:t>
            </w:r>
            <w:r>
              <w:rPr>
                <w:rFonts w:hint="eastAsia" w:ascii="微软雅黑" w:hAnsi="微软雅黑" w:cs="微软雅黑"/>
                <w:spacing w:val="6"/>
                <w:szCs w:val="21"/>
              </w:rPr>
              <w:t>分，无演示或演示不成功不得分。）</w:t>
            </w:r>
          </w:p>
          <w:p>
            <w:pPr>
              <w:spacing w:line="400" w:lineRule="exact"/>
              <w:rPr>
                <w:rFonts w:ascii="微软雅黑" w:hAnsi="微软雅黑" w:cs="微软雅黑"/>
                <w:spacing w:val="6"/>
                <w:szCs w:val="21"/>
              </w:rPr>
            </w:pPr>
            <w:r>
              <w:rPr>
                <w:rFonts w:hint="eastAsia" w:ascii="微软雅黑" w:hAnsi="微软雅黑" w:cs="微软雅黑"/>
                <w:spacing w:val="6"/>
                <w:szCs w:val="21"/>
              </w:rPr>
              <w:t>4、闸机视频演示：（此项总共</w:t>
            </w:r>
            <w:r>
              <w:rPr>
                <w:rFonts w:ascii="微软雅黑" w:hAnsi="微软雅黑" w:cs="微软雅黑"/>
                <w:spacing w:val="6"/>
                <w:szCs w:val="21"/>
              </w:rPr>
              <w:t>5</w:t>
            </w:r>
            <w:r>
              <w:rPr>
                <w:rFonts w:hint="eastAsia" w:ascii="微软雅黑" w:hAnsi="微软雅黑" w:cs="微软雅黑"/>
                <w:spacing w:val="6"/>
                <w:szCs w:val="21"/>
              </w:rPr>
              <w:t>分,每个分项得</w:t>
            </w:r>
            <w:r>
              <w:rPr>
                <w:rFonts w:ascii="微软雅黑" w:hAnsi="微软雅黑" w:cs="微软雅黑"/>
                <w:spacing w:val="6"/>
                <w:szCs w:val="21"/>
              </w:rPr>
              <w:t>1</w:t>
            </w:r>
            <w:r>
              <w:rPr>
                <w:rFonts w:hint="eastAsia" w:ascii="微软雅黑" w:hAnsi="微软雅黑" w:cs="微软雅黑"/>
                <w:spacing w:val="6"/>
                <w:szCs w:val="21"/>
              </w:rPr>
              <w:t>分，无演示或演示不成功不得分。）</w:t>
            </w:r>
          </w:p>
          <w:p>
            <w:pPr>
              <w:spacing w:line="400" w:lineRule="exact"/>
              <w:rPr>
                <w:rFonts w:ascii="微软雅黑" w:hAnsi="微软雅黑" w:cs="微软雅黑"/>
                <w:spacing w:val="6"/>
                <w:szCs w:val="21"/>
              </w:rPr>
            </w:pPr>
            <w:r>
              <w:rPr>
                <w:rFonts w:hint="eastAsia" w:ascii="微软雅黑" w:hAnsi="微软雅黑" w:cs="微软雅黑"/>
                <w:spacing w:val="6"/>
                <w:szCs w:val="21"/>
              </w:rPr>
              <w:t>4.1人脸识别或刷卡认证方式闸翼打开后如果不通过通道，通道机不产生通过记录；</w:t>
            </w:r>
          </w:p>
          <w:p>
            <w:pPr>
              <w:spacing w:line="400" w:lineRule="exact"/>
              <w:rPr>
                <w:rFonts w:ascii="微软雅黑" w:hAnsi="微软雅黑" w:cs="微软雅黑"/>
                <w:spacing w:val="6"/>
                <w:szCs w:val="21"/>
              </w:rPr>
            </w:pPr>
            <w:r>
              <w:rPr>
                <w:rFonts w:hint="eastAsia" w:ascii="微软雅黑" w:hAnsi="微软雅黑" w:cs="微软雅黑"/>
                <w:spacing w:val="6"/>
                <w:szCs w:val="21"/>
              </w:rPr>
              <w:t>4.2通道机检测到尾随事件发生自动形成非法通过记录及抓拍图片。</w:t>
            </w:r>
          </w:p>
          <w:p>
            <w:pPr>
              <w:spacing w:line="400" w:lineRule="exact"/>
              <w:rPr>
                <w:rFonts w:ascii="微软雅黑" w:hAnsi="微软雅黑" w:cs="微软雅黑"/>
                <w:spacing w:val="6"/>
                <w:szCs w:val="21"/>
              </w:rPr>
            </w:pPr>
            <w:r>
              <w:rPr>
                <w:rFonts w:hint="eastAsia" w:ascii="微软雅黑" w:hAnsi="微软雅黑" w:cs="微软雅黑"/>
                <w:spacing w:val="6"/>
                <w:szCs w:val="21"/>
              </w:rPr>
              <w:t>4.3支持在手机端远程进行开关闸操作，联动监控设备可查看开关状态的实时视频。</w:t>
            </w:r>
          </w:p>
          <w:p>
            <w:pPr>
              <w:spacing w:line="400" w:lineRule="exact"/>
              <w:rPr>
                <w:rFonts w:ascii="微软雅黑" w:hAnsi="微软雅黑" w:cs="微软雅黑"/>
                <w:spacing w:val="6"/>
                <w:szCs w:val="21"/>
              </w:rPr>
            </w:pPr>
            <w:r>
              <w:rPr>
                <w:rFonts w:hint="eastAsia" w:ascii="微软雅黑" w:hAnsi="微软雅黑" w:cs="微软雅黑"/>
                <w:spacing w:val="6"/>
                <w:szCs w:val="21"/>
              </w:rPr>
              <w:t>4.4支持在手机端查看通道的运行状态。</w:t>
            </w:r>
          </w:p>
          <w:p>
            <w:pPr>
              <w:spacing w:line="400" w:lineRule="exact"/>
              <w:rPr>
                <w:rFonts w:ascii="微软雅黑" w:hAnsi="微软雅黑" w:cs="微软雅黑"/>
                <w:spacing w:val="6"/>
                <w:szCs w:val="21"/>
              </w:rPr>
            </w:pPr>
            <w:r>
              <w:rPr>
                <w:rFonts w:hint="eastAsia" w:ascii="微软雅黑" w:hAnsi="微软雅黑" w:cs="微软雅黑"/>
                <w:spacing w:val="6"/>
                <w:szCs w:val="21"/>
              </w:rPr>
              <w:t>4.5支持刷卡、刷脸、二维码等多种认证介质的反潜功能。</w:t>
            </w:r>
          </w:p>
          <w:p>
            <w:pPr>
              <w:spacing w:line="400" w:lineRule="exact"/>
              <w:rPr>
                <w:rFonts w:ascii="微软雅黑" w:hAnsi="微软雅黑" w:cs="微软雅黑"/>
                <w:color w:val="FF0000"/>
                <w:spacing w:val="6"/>
                <w:szCs w:val="21"/>
              </w:rPr>
            </w:pPr>
            <w:r>
              <w:rPr>
                <w:rFonts w:hint="eastAsia" w:ascii="微软雅黑" w:hAnsi="微软雅黑" w:cs="微软雅黑"/>
                <w:spacing w:val="6"/>
                <w:szCs w:val="21"/>
              </w:rPr>
              <w:t>（注：投标人需将演示视频（U盘）密封提交，演示视频时间应不超过15分钟，自带视频播放软件可以正常播放的格式，U盘质量和播放效果由投标人自行负责。）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10"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4</w:t>
            </w:r>
          </w:p>
        </w:tc>
        <w:tc>
          <w:tcPr>
            <w:tcW w:w="993" w:type="dxa"/>
            <w:vMerge w:val="restart"/>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技术</w:t>
            </w: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总体技术方案</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6</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根据</w:t>
            </w:r>
            <w:r>
              <w:rPr>
                <w:rFonts w:hint="eastAsia" w:ascii="微软雅黑" w:hAnsi="微软雅黑" w:cs="微软雅黑"/>
                <w:szCs w:val="21"/>
              </w:rPr>
              <w:t>投标供应商</w:t>
            </w:r>
            <w:r>
              <w:rPr>
                <w:rFonts w:hint="eastAsia" w:ascii="微软雅黑" w:hAnsi="微软雅黑" w:cs="微软雅黑"/>
                <w:spacing w:val="6"/>
                <w:szCs w:val="21"/>
              </w:rPr>
              <w:t>针对本项目提供的总体技术方案是否贴近用户实际需求进行打分：内容全面、严谨、可行，叙述清楚且合理，符合现场实际情况的得6分；基本详尽、可行性有待提升得4分；简略不够具体、较难实施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10"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5</w:t>
            </w: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运维方案</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5</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根据</w:t>
            </w:r>
            <w:r>
              <w:rPr>
                <w:rFonts w:hint="eastAsia" w:ascii="微软雅黑" w:hAnsi="微软雅黑" w:cs="微软雅黑"/>
                <w:szCs w:val="21"/>
              </w:rPr>
              <w:t>投标供应商</w:t>
            </w:r>
            <w:r>
              <w:rPr>
                <w:rFonts w:hint="eastAsia" w:ascii="微软雅黑" w:hAnsi="微软雅黑" w:cs="微软雅黑"/>
                <w:spacing w:val="6"/>
                <w:szCs w:val="21"/>
              </w:rPr>
              <w:t>针对本项目提供的系统运维托管、升级服务以及指导答疑服务等进行打分：前瞻性高、全面及时合理、可行性高得5分；基本详尽、可行性有待提升得3分；简略不够具体、较难实施得1分；未提供不得分。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710"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6</w:t>
            </w: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售后服务方案</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5</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根据</w:t>
            </w:r>
            <w:r>
              <w:rPr>
                <w:rFonts w:hint="eastAsia" w:ascii="微软雅黑" w:hAnsi="微软雅黑" w:cs="微软雅黑"/>
                <w:szCs w:val="21"/>
              </w:rPr>
              <w:t>投标供应商</w:t>
            </w:r>
            <w:r>
              <w:rPr>
                <w:rFonts w:hint="eastAsia" w:ascii="微软雅黑" w:hAnsi="微软雅黑" w:cs="微软雅黑"/>
                <w:spacing w:val="6"/>
                <w:szCs w:val="21"/>
              </w:rPr>
              <w:t>针对本项目提供的售后服务方案、技术支持体系、服务承诺(到达现场的响应时间)、售后人员配备充足(如服务网点地址、电话、技术人员配置等进行打分：内容全面、严谨、可行，叙述清楚且合理，符合现场实际情况的得5分；基本详尽、可行性有待提升得3分；简略不够具体、较慢实施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0" w:type="dxa"/>
          </w:tcPr>
          <w:p>
            <w:pPr>
              <w:spacing w:line="400" w:lineRule="exact"/>
              <w:jc w:val="center"/>
              <w:rPr>
                <w:rFonts w:ascii="微软雅黑" w:hAnsi="微软雅黑" w:cs="微软雅黑"/>
                <w:bCs/>
                <w:szCs w:val="21"/>
              </w:rPr>
            </w:pPr>
          </w:p>
        </w:tc>
        <w:tc>
          <w:tcPr>
            <w:tcW w:w="99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合计</w:t>
            </w:r>
          </w:p>
        </w:tc>
        <w:tc>
          <w:tcPr>
            <w:tcW w:w="1134" w:type="dxa"/>
            <w:vAlign w:val="center"/>
          </w:tcPr>
          <w:p>
            <w:pPr>
              <w:spacing w:line="400" w:lineRule="exact"/>
              <w:jc w:val="center"/>
              <w:rPr>
                <w:rFonts w:ascii="微软雅黑" w:hAnsi="微软雅黑" w:cs="微软雅黑"/>
                <w:bCs/>
                <w:szCs w:val="21"/>
              </w:rPr>
            </w:pPr>
          </w:p>
        </w:tc>
        <w:tc>
          <w:tcPr>
            <w:tcW w:w="708" w:type="dxa"/>
            <w:vAlign w:val="center"/>
          </w:tcPr>
          <w:p>
            <w:pPr>
              <w:spacing w:line="400" w:lineRule="exact"/>
              <w:rPr>
                <w:rFonts w:ascii="微软雅黑" w:hAnsi="微软雅黑" w:cs="微软雅黑"/>
                <w:bCs/>
                <w:szCs w:val="21"/>
              </w:rPr>
            </w:pPr>
            <w:r>
              <w:rPr>
                <w:rFonts w:ascii="微软雅黑" w:hAnsi="微软雅黑" w:cs="微软雅黑"/>
                <w:spacing w:val="6"/>
                <w:szCs w:val="21"/>
              </w:rPr>
              <w:fldChar w:fldCharType="begin"/>
            </w:r>
            <w:r>
              <w:rPr>
                <w:rFonts w:ascii="微软雅黑" w:hAnsi="微软雅黑" w:cs="微软雅黑"/>
                <w:spacing w:val="6"/>
                <w:szCs w:val="21"/>
              </w:rPr>
              <w:instrText xml:space="preserve"> =SUM(ABOVE) \* MERGEFORMAT </w:instrText>
            </w:r>
            <w:r>
              <w:rPr>
                <w:rFonts w:ascii="微软雅黑" w:hAnsi="微软雅黑" w:cs="微软雅黑"/>
                <w:spacing w:val="6"/>
                <w:szCs w:val="21"/>
              </w:rPr>
              <w:fldChar w:fldCharType="separate"/>
            </w:r>
            <w:r>
              <w:rPr>
                <w:rFonts w:ascii="微软雅黑" w:hAnsi="微软雅黑" w:cs="微软雅黑"/>
                <w:spacing w:val="6"/>
                <w:szCs w:val="21"/>
              </w:rPr>
              <w:t>100</w:t>
            </w:r>
            <w:r>
              <w:rPr>
                <w:rFonts w:ascii="微软雅黑" w:hAnsi="微软雅黑" w:cs="微软雅黑"/>
                <w:spacing w:val="6"/>
                <w:szCs w:val="21"/>
              </w:rPr>
              <w:fldChar w:fldCharType="end"/>
            </w:r>
          </w:p>
        </w:tc>
        <w:tc>
          <w:tcPr>
            <w:tcW w:w="6379" w:type="dxa"/>
            <w:vAlign w:val="center"/>
          </w:tcPr>
          <w:p>
            <w:pPr>
              <w:spacing w:line="400" w:lineRule="exact"/>
              <w:jc w:val="center"/>
              <w:rPr>
                <w:rFonts w:ascii="微软雅黑" w:hAnsi="微软雅黑" w:cs="微软雅黑"/>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924" w:type="dxa"/>
            <w:gridSpan w:val="5"/>
          </w:tcPr>
          <w:p>
            <w:pPr>
              <w:spacing w:line="400" w:lineRule="exact"/>
              <w:rPr>
                <w:rFonts w:ascii="微软雅黑" w:hAnsi="微软雅黑" w:cs="微软雅黑"/>
                <w:b/>
                <w:bCs/>
                <w:szCs w:val="21"/>
              </w:rPr>
            </w:pPr>
            <w:r>
              <w:rPr>
                <w:rFonts w:hint="eastAsia" w:ascii="微软雅黑" w:hAnsi="微软雅黑" w:cs="微软雅黑"/>
                <w:b/>
                <w:bCs/>
                <w:szCs w:val="21"/>
              </w:rPr>
              <w:t>采购人与中标人在签订合同前,有权要求中标人提供其投标文件中的承诺响应的证明材料原件进行真实性核实以及提供样机进行功能测试，如中标人无法提供,或无法核实真实性,或功能不满足，则视为虚假响应,取消中标资格。</w:t>
            </w:r>
          </w:p>
        </w:tc>
      </w:tr>
    </w:tbl>
    <w:p>
      <w:pPr>
        <w:pStyle w:val="2"/>
        <w:pageBreakBefore/>
        <w:rPr>
          <w:rFonts w:ascii="宋体" w:hAnsi="宋体" w:eastAsia="宋体"/>
          <w:b/>
          <w:bCs/>
          <w:sz w:val="44"/>
        </w:rPr>
      </w:pPr>
      <w:r>
        <w:rPr>
          <w:rFonts w:hint="eastAsia" w:ascii="宋体" w:hAnsi="宋体" w:eastAsia="宋体"/>
          <w:b/>
          <w:bCs/>
          <w:sz w:val="44"/>
        </w:rPr>
        <w:t>第五章  投标文件格式</w:t>
      </w:r>
      <w:bookmarkEnd w:id="176"/>
    </w:p>
    <w:p>
      <w:pPr>
        <w:jc w:val="center"/>
        <w:rPr>
          <w:rFonts w:ascii="宋体" w:hAnsi="宋体"/>
          <w:b/>
          <w:sz w:val="72"/>
        </w:rPr>
      </w:pPr>
      <w:bookmarkStart w:id="177" w:name="_Hlt26671244"/>
      <w:bookmarkEnd w:id="177"/>
      <w:bookmarkStart w:id="178" w:name="_Hlt26955039"/>
      <w:bookmarkEnd w:id="178"/>
      <w:bookmarkStart w:id="179" w:name="_Toc26554094"/>
      <w:bookmarkStart w:id="180" w:name="_Toc120614282"/>
      <w:bookmarkStart w:id="181" w:name="_Toc49090576"/>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rPr>
          <w:rFonts w:ascii="宋体" w:hAnsi="宋体"/>
          <w:b/>
          <w:sz w:val="36"/>
          <w:u w:val="single"/>
        </w:rPr>
      </w:pPr>
      <w:r>
        <w:rPr>
          <w:rFonts w:hint="eastAsia" w:ascii="宋体" w:hAnsi="宋体"/>
          <w:b/>
          <w:sz w:val="36"/>
        </w:rPr>
        <w:t xml:space="preserve">    投标人名称：</w:t>
      </w:r>
    </w:p>
    <w:p>
      <w:pPr>
        <w:rPr>
          <w:rFonts w:ascii="宋体" w:hAnsi="宋体"/>
          <w:b/>
          <w:sz w:val="36"/>
        </w:rPr>
      </w:pPr>
      <w:r>
        <w:rPr>
          <w:rFonts w:hint="eastAsia" w:ascii="宋体" w:hAnsi="宋体"/>
          <w:b/>
          <w:sz w:val="36"/>
        </w:rPr>
        <w:t xml:space="preserve">          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30"/>
        <w:ind w:firstLine="0"/>
        <w:jc w:val="center"/>
        <w:rPr>
          <w:b/>
        </w:rPr>
      </w:pPr>
      <w:bookmarkStart w:id="182" w:name="_Toc517190894"/>
      <w:r>
        <w:rPr>
          <w:rFonts w:hint="eastAsia"/>
          <w:b/>
          <w:sz w:val="32"/>
        </w:rPr>
        <w:t>投标函格式</w:t>
      </w:r>
      <w:bookmarkEnd w:id="182"/>
    </w:p>
    <w:p>
      <w:pPr>
        <w:pStyle w:val="30"/>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30"/>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30"/>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30"/>
        <w:spacing w:before="0" w:after="0" w:line="420" w:lineRule="exact"/>
        <w:ind w:left="440" w:leftChars="200" w:firstLine="3500" w:firstLineChars="1250"/>
        <w:rPr>
          <w:rFonts w:ascii="宋体" w:hAnsi="宋体"/>
          <w:kern w:val="2"/>
          <w:sz w:val="28"/>
          <w:szCs w:val="21"/>
        </w:rPr>
      </w:pPr>
    </w:p>
    <w:p>
      <w:pPr>
        <w:pStyle w:val="30"/>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30"/>
        <w:ind w:firstLine="0"/>
        <w:jc w:val="center"/>
        <w:rPr>
          <w:b/>
          <w:sz w:val="32"/>
        </w:rPr>
      </w:pPr>
      <w:bookmarkStart w:id="183" w:name="_Toc517190895"/>
      <w:r>
        <w:rPr>
          <w:rFonts w:hint="eastAsia"/>
          <w:b/>
          <w:sz w:val="32"/>
        </w:rPr>
        <w:t>法人授权书</w:t>
      </w:r>
      <w:bookmarkEnd w:id="183"/>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6"/>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6"/>
        <w:spacing w:line="360" w:lineRule="auto"/>
        <w:ind w:firstLine="560"/>
        <w:jc w:val="right"/>
        <w:rPr>
          <w:rFonts w:asciiTheme="minorEastAsia" w:hAnsiTheme="minorEastAsia" w:eastAsiaTheme="minorEastAsia"/>
          <w:szCs w:val="24"/>
        </w:rPr>
      </w:pP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6"/>
        <w:spacing w:line="360" w:lineRule="auto"/>
        <w:ind w:firstLine="560"/>
        <w:jc w:val="right"/>
        <w:rPr>
          <w:rFonts w:asciiTheme="minorEastAsia" w:hAnsiTheme="minorEastAsia" w:eastAsiaTheme="minorEastAsia"/>
          <w:szCs w:val="24"/>
        </w:rPr>
      </w:pPr>
    </w:p>
    <w:p>
      <w:pPr>
        <w:pStyle w:val="46"/>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84" w:name="_格式3__银行出具的资信证明"/>
      <w:bookmarkEnd w:id="184"/>
      <w:bookmarkStart w:id="185" w:name="_Hlt26671380"/>
      <w:bookmarkEnd w:id="185"/>
      <w:bookmarkStart w:id="186" w:name="_Hlt26955070"/>
      <w:bookmarkEnd w:id="186"/>
    </w:p>
    <w:p>
      <w:pPr>
        <w:pStyle w:val="3"/>
        <w:rPr>
          <w:rFonts w:asciiTheme="minorEastAsia" w:hAnsiTheme="minorEastAsia" w:eastAsiaTheme="minorEastAsia"/>
          <w:sz w:val="36"/>
        </w:rPr>
      </w:pPr>
    </w:p>
    <w:p>
      <w:pPr>
        <w:pStyle w:val="30"/>
        <w:pageBreakBefore/>
        <w:ind w:firstLine="0"/>
        <w:jc w:val="center"/>
        <w:rPr>
          <w:b/>
          <w:sz w:val="32"/>
          <w:szCs w:val="20"/>
        </w:rPr>
      </w:pPr>
      <w:bookmarkStart w:id="187" w:name="_Toc517190896"/>
      <w:r>
        <w:rPr>
          <w:rFonts w:hint="eastAsia"/>
          <w:b/>
          <w:sz w:val="32"/>
        </w:rPr>
        <w:t>开标一览表</w:t>
      </w:r>
      <w:bookmarkEnd w:id="187"/>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30"/>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30"/>
        <w:ind w:firstLine="0"/>
        <w:jc w:val="center"/>
        <w:rPr>
          <w:b/>
          <w:sz w:val="32"/>
        </w:rPr>
      </w:pPr>
      <w:r>
        <w:rPr>
          <w:rFonts w:hint="eastAsia"/>
          <w:b/>
          <w:sz w:val="32"/>
        </w:rPr>
        <w:t>投标产品配置及分项报价表</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Theme="minorEastAsia" w:hAnsiTheme="minorEastAsia" w:eastAsiaTheme="minorEastAsia"/>
          <w:sz w:val="28"/>
          <w:szCs w:val="24"/>
        </w:rPr>
      </w:pPr>
      <w:r>
        <w:rPr>
          <w:rFonts w:asciiTheme="minorEastAsia" w:hAnsiTheme="minorEastAsia" w:eastAsiaTheme="minorEastAsia"/>
          <w:sz w:val="28"/>
          <w:szCs w:val="24"/>
        </w:rPr>
        <w:br w:type="page"/>
      </w:r>
    </w:p>
    <w:bookmarkEnd w:id="179"/>
    <w:bookmarkEnd w:id="180"/>
    <w:bookmarkEnd w:id="181"/>
    <w:p>
      <w:pPr>
        <w:jc w:val="center"/>
        <w:rPr>
          <w:rFonts w:ascii="Arial" w:hAnsi="Arial" w:eastAsia="宋体" w:cs="Times New Roman"/>
          <w:b/>
          <w:sz w:val="32"/>
          <w:szCs w:val="24"/>
        </w:rPr>
      </w:pPr>
      <w:bookmarkStart w:id="188"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2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88"/>
    <w:p>
      <w:pPr>
        <w:pStyle w:val="30"/>
        <w:ind w:firstLine="0"/>
        <w:rPr>
          <w:rFonts w:asciiTheme="minorEastAsia" w:hAnsiTheme="minorEastAsia" w:eastAsiaTheme="minorEastAsia"/>
          <w:sz w:val="28"/>
          <w:szCs w:val="28"/>
        </w:rPr>
      </w:pPr>
    </w:p>
    <w:p>
      <w:pPr>
        <w:pStyle w:val="30"/>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财务报表等</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甲方：（买方）_________         乙方：（卖方）_________</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u w:val="single"/>
        </w:rPr>
      </w:pPr>
      <w:r>
        <w:rPr>
          <w:rFonts w:hint="eastAsia" w:ascii="宋体" w:hAnsi="宋体" w:eastAsia="宋体"/>
          <w:color w:val="000000"/>
          <w:kern w:val="2"/>
          <w:sz w:val="24"/>
          <w:szCs w:val="28"/>
        </w:rPr>
        <w:t>地址：                          地址：</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联系方式：                      联系方式：</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甲、乙双方根据南京医科大学项目公开招标的结果，本着自愿及平等互利的原则，就甲方向乙方购买本合同约定的货物事宜，签署本合同。</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一、货物内容、数量及金额</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left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编号</w:t>
            </w:r>
          </w:p>
        </w:tc>
        <w:tc>
          <w:tcPr>
            <w:tcW w:w="1797"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货物名称</w:t>
            </w:r>
          </w:p>
        </w:tc>
        <w:tc>
          <w:tcPr>
            <w:tcW w:w="2352"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规格型号（品牌）</w:t>
            </w:r>
          </w:p>
        </w:tc>
        <w:tc>
          <w:tcPr>
            <w:tcW w:w="682"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数量</w:t>
            </w:r>
          </w:p>
        </w:tc>
        <w:tc>
          <w:tcPr>
            <w:tcW w:w="1389"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单价（元）</w:t>
            </w:r>
          </w:p>
        </w:tc>
        <w:tc>
          <w:tcPr>
            <w:tcW w:w="1389"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rPr>
                <w:rFonts w:ascii="宋体" w:hAnsi="宋体" w:eastAsia="宋体"/>
                <w:b/>
                <w:color w:val="000000"/>
                <w:sz w:val="24"/>
                <w:szCs w:val="24"/>
              </w:rPr>
            </w:pPr>
            <w:r>
              <w:rPr>
                <w:rFonts w:hint="eastAsia" w:ascii="宋体" w:hAnsi="宋体" w:eastAsia="宋体"/>
                <w:b/>
                <w:color w:val="000000"/>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left w:val="single" w:color="auto" w:sz="18" w:space="0"/>
              <w:bottom w:val="single" w:color="auto" w:sz="4" w:space="0"/>
              <w:right w:val="single" w:color="auto" w:sz="4" w:space="0"/>
            </w:tcBorders>
            <w:vAlign w:val="center"/>
          </w:tcPr>
          <w:p>
            <w:pPr>
              <w:spacing w:line="330" w:lineRule="atLeast"/>
              <w:rPr>
                <w:rFonts w:ascii="宋体" w:hAnsi="宋体" w:eastAsia="宋体"/>
                <w:b/>
                <w:color w:val="000000"/>
                <w:sz w:val="24"/>
                <w:szCs w:val="24"/>
              </w:rPr>
            </w:pPr>
            <w:r>
              <w:rPr>
                <w:rFonts w:hint="eastAsia" w:ascii="宋体" w:hAnsi="宋体" w:eastAsia="宋体"/>
                <w:b/>
                <w:color w:val="000000"/>
                <w:sz w:val="24"/>
                <w:szCs w:val="24"/>
              </w:rPr>
              <w:t>1</w:t>
            </w:r>
          </w:p>
        </w:tc>
        <w:tc>
          <w:tcPr>
            <w:tcW w:w="1797" w:type="dxa"/>
            <w:tcBorders>
              <w:top w:val="nil"/>
              <w:left w:val="single" w:color="auto" w:sz="4" w:space="0"/>
              <w:bottom w:val="single" w:color="auto" w:sz="4" w:space="0"/>
              <w:right w:val="single" w:color="auto" w:sz="4" w:space="0"/>
            </w:tcBorders>
            <w:vAlign w:val="center"/>
          </w:tcPr>
          <w:p>
            <w:pPr>
              <w:spacing w:line="330" w:lineRule="atLeast"/>
              <w:jc w:val="center"/>
              <w:rPr>
                <w:rFonts w:ascii="宋体" w:hAnsi="宋体" w:eastAsia="宋体"/>
                <w:color w:val="000000"/>
                <w:sz w:val="24"/>
                <w:szCs w:val="24"/>
              </w:rPr>
            </w:pPr>
          </w:p>
        </w:tc>
        <w:tc>
          <w:tcPr>
            <w:tcW w:w="2352" w:type="dxa"/>
            <w:tcBorders>
              <w:top w:val="nil"/>
              <w:left w:val="single" w:color="auto" w:sz="4" w:space="0"/>
              <w:bottom w:val="single" w:color="auto" w:sz="4" w:space="0"/>
              <w:right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left w:val="single" w:color="auto" w:sz="4" w:space="0"/>
              <w:bottom w:val="single" w:color="auto" w:sz="4" w:space="0"/>
              <w:right w:val="single" w:color="auto" w:sz="4" w:space="0"/>
            </w:tcBorders>
            <w:vAlign w:val="center"/>
          </w:tcPr>
          <w:p>
            <w:pPr>
              <w:spacing w:line="330" w:lineRule="atLeast"/>
              <w:ind w:firstLine="118" w:firstLineChars="49"/>
              <w:rPr>
                <w:rFonts w:ascii="宋体" w:hAnsi="宋体" w:eastAsia="宋体"/>
                <w:b/>
                <w:color w:val="000000"/>
                <w:sz w:val="24"/>
                <w:szCs w:val="24"/>
              </w:rPr>
            </w:pPr>
          </w:p>
        </w:tc>
        <w:tc>
          <w:tcPr>
            <w:tcW w:w="1389" w:type="dxa"/>
            <w:tcBorders>
              <w:top w:val="nil"/>
              <w:left w:val="single" w:color="auto" w:sz="4" w:space="0"/>
              <w:bottom w:val="single" w:color="auto" w:sz="4" w:space="0"/>
              <w:right w:val="single" w:color="auto" w:sz="4" w:space="0"/>
            </w:tcBorders>
            <w:vAlign w:val="center"/>
          </w:tcPr>
          <w:p>
            <w:pPr>
              <w:spacing w:line="330" w:lineRule="atLeast"/>
              <w:jc w:val="center"/>
              <w:rPr>
                <w:rFonts w:ascii="宋体" w:hAnsi="宋体" w:eastAsia="宋体"/>
                <w:b/>
                <w:color w:val="000000"/>
                <w:sz w:val="24"/>
                <w:szCs w:val="24"/>
              </w:rPr>
            </w:pPr>
          </w:p>
        </w:tc>
        <w:tc>
          <w:tcPr>
            <w:tcW w:w="1389" w:type="dxa"/>
            <w:tcBorders>
              <w:top w:val="nil"/>
              <w:left w:val="single" w:color="auto" w:sz="4" w:space="0"/>
              <w:bottom w:val="single" w:color="auto" w:sz="4" w:space="0"/>
              <w:right w:val="single" w:color="auto" w:sz="4" w:space="0"/>
            </w:tcBorders>
            <w:vAlign w:val="center"/>
          </w:tcPr>
          <w:p>
            <w:pPr>
              <w:spacing w:line="330" w:lineRule="atLeast"/>
              <w:rPr>
                <w:rFonts w:ascii="宋体" w:hAnsi="宋体" w:eastAsia="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left w:val="single" w:color="auto" w:sz="18" w:space="0"/>
              <w:bottom w:val="single" w:color="auto" w:sz="4" w:space="0"/>
              <w:right w:val="single" w:color="auto" w:sz="4" w:space="0"/>
            </w:tcBorders>
            <w:vAlign w:val="center"/>
          </w:tcPr>
          <w:p>
            <w:pPr>
              <w:spacing w:line="330" w:lineRule="atLeast"/>
              <w:rPr>
                <w:rFonts w:ascii="宋体" w:hAnsi="宋体" w:eastAsia="宋体"/>
                <w:color w:val="000000"/>
                <w:sz w:val="24"/>
                <w:szCs w:val="24"/>
              </w:rPr>
            </w:pPr>
            <w:r>
              <w:rPr>
                <w:rFonts w:hint="eastAsia" w:ascii="宋体" w:hAnsi="宋体" w:eastAsia="宋体"/>
                <w:b/>
                <w:color w:val="000000"/>
                <w:sz w:val="24"/>
                <w:szCs w:val="24"/>
              </w:rPr>
              <w:t>总价（人民币大写）：</w:t>
            </w:r>
            <w:r>
              <w:rPr>
                <w:rFonts w:hint="eastAsia" w:ascii="宋体" w:hAnsi="宋体" w:eastAsia="宋体"/>
                <w:color w:val="000000"/>
                <w:sz w:val="24"/>
                <w:szCs w:val="24"/>
              </w:rPr>
              <w:t>合计（小写）：元</w:t>
            </w:r>
          </w:p>
          <w:p>
            <w:pPr>
              <w:spacing w:line="330" w:lineRule="atLeast"/>
              <w:rPr>
                <w:rFonts w:ascii="宋体" w:hAnsi="宋体" w:eastAsia="宋体"/>
                <w:color w:val="000000"/>
                <w:sz w:val="24"/>
                <w:szCs w:val="24"/>
              </w:rPr>
            </w:pPr>
            <w:r>
              <w:rPr>
                <w:rFonts w:hint="eastAsia" w:ascii="宋体" w:hAnsi="宋体" w:eastAsia="宋体"/>
                <w:color w:val="000000"/>
                <w:szCs w:val="24"/>
              </w:rPr>
              <w:t>本合同总价款是货物设计、制造、包装、仓储、运输、安装及验收合格之前以及保修期内备品备件发生的所有含税费用。本合同总价款还包含乙方应当提供的伴随服务/售后服务费用。</w:t>
            </w:r>
          </w:p>
        </w:tc>
      </w:tr>
    </w:tbl>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二、结算方式</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2.1结算方式：</w:t>
      </w:r>
    </w:p>
    <w:p>
      <w:pPr>
        <w:pStyle w:val="7"/>
      </w:pPr>
      <w:r>
        <w:rPr>
          <w:rFonts w:hint="eastAsia"/>
        </w:rPr>
        <w:t>项目安装完成、正常运行后，验收合格一个月内支付1</w:t>
      </w:r>
      <w:r>
        <w:t>00%</w:t>
      </w:r>
      <w:r>
        <w:rPr>
          <w:rFonts w:hint="eastAsia"/>
        </w:rPr>
        <w:t>款项，付款前需收到对方合格有效的，相应金额的发票。</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2.2当采购数量与实际使用数量不一致时，乙方应根据实际使用量供货，合同的最终结算金额按实际使用量乘以成交单价进行计算。</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2.3乙方指定账户信息：</w:t>
      </w:r>
    </w:p>
    <w:p>
      <w:pPr>
        <w:widowControl w:val="0"/>
        <w:adjustRightInd/>
        <w:snapToGrid/>
        <w:spacing w:before="120" w:after="120" w:line="330" w:lineRule="atLeast"/>
        <w:ind w:left="440" w:leftChars="200" w:firstLine="120" w:firstLineChars="50"/>
        <w:rPr>
          <w:rFonts w:ascii="宋体" w:hAnsi="宋体" w:eastAsia="宋体"/>
          <w:color w:val="000000"/>
          <w:kern w:val="2"/>
          <w:sz w:val="24"/>
          <w:szCs w:val="24"/>
        </w:rPr>
      </w:pPr>
      <w:r>
        <w:rPr>
          <w:rFonts w:hint="eastAsia" w:ascii="宋体" w:hAnsi="宋体" w:eastAsia="宋体"/>
          <w:color w:val="000000"/>
          <w:kern w:val="2"/>
          <w:sz w:val="24"/>
          <w:szCs w:val="24"/>
        </w:rPr>
        <w:t>开户行：_______</w:t>
      </w:r>
      <w:r>
        <w:rPr>
          <w:rFonts w:hint="eastAsia" w:ascii="宋体" w:hAnsi="宋体" w:eastAsia="宋体"/>
          <w:color w:val="000000"/>
          <w:kern w:val="2"/>
          <w:sz w:val="24"/>
          <w:szCs w:val="24"/>
          <w:u w:val="single"/>
        </w:rPr>
        <w:t>_   __</w:t>
      </w:r>
    </w:p>
    <w:p>
      <w:pPr>
        <w:widowControl w:val="0"/>
        <w:adjustRightInd/>
        <w:snapToGrid/>
        <w:spacing w:before="120" w:after="120" w:line="330" w:lineRule="atLeast"/>
        <w:ind w:left="440" w:leftChars="200" w:firstLine="120" w:firstLineChars="50"/>
        <w:rPr>
          <w:rFonts w:ascii="宋体" w:hAnsi="宋体" w:eastAsia="宋体"/>
          <w:color w:val="000000"/>
          <w:kern w:val="2"/>
          <w:sz w:val="24"/>
          <w:szCs w:val="24"/>
        </w:rPr>
      </w:pPr>
      <w:r>
        <w:rPr>
          <w:rFonts w:hint="eastAsia" w:ascii="宋体" w:hAnsi="宋体" w:eastAsia="宋体"/>
          <w:color w:val="000000"/>
          <w:kern w:val="2"/>
          <w:sz w:val="24"/>
          <w:szCs w:val="24"/>
        </w:rPr>
        <w:t>户名：  ________</w:t>
      </w:r>
      <w:r>
        <w:rPr>
          <w:rFonts w:hint="eastAsia" w:ascii="宋体" w:hAnsi="宋体" w:eastAsia="宋体"/>
          <w:color w:val="000000"/>
          <w:kern w:val="2"/>
          <w:sz w:val="24"/>
          <w:szCs w:val="24"/>
          <w:u w:val="single"/>
        </w:rPr>
        <w:t>_   __</w:t>
      </w:r>
    </w:p>
    <w:p>
      <w:pPr>
        <w:widowControl w:val="0"/>
        <w:adjustRightInd/>
        <w:snapToGrid/>
        <w:spacing w:before="120" w:after="120" w:line="330" w:lineRule="atLeast"/>
        <w:ind w:left="440" w:leftChars="200" w:firstLine="120" w:firstLineChars="50"/>
        <w:rPr>
          <w:rFonts w:ascii="宋体" w:hAnsi="宋体" w:eastAsia="宋体"/>
          <w:color w:val="000000"/>
          <w:kern w:val="2"/>
          <w:sz w:val="24"/>
          <w:szCs w:val="24"/>
          <w:u w:val="single"/>
        </w:rPr>
      </w:pPr>
      <w:r>
        <w:rPr>
          <w:rFonts w:hint="eastAsia" w:ascii="宋体" w:hAnsi="宋体" w:eastAsia="宋体"/>
          <w:color w:val="000000"/>
          <w:kern w:val="2"/>
          <w:sz w:val="24"/>
          <w:szCs w:val="24"/>
        </w:rPr>
        <w:t>账号： _______________</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三、交付方式、时间及地点</w:t>
      </w:r>
    </w:p>
    <w:p>
      <w:pPr>
        <w:widowControl w:val="0"/>
        <w:adjustRightInd/>
        <w:spacing w:before="120" w:after="120" w:line="330" w:lineRule="atLeast"/>
        <w:ind w:firstLine="480" w:firstLineChars="200"/>
        <w:rPr>
          <w:rFonts w:ascii="宋体" w:hAnsi="宋体" w:eastAsia="宋体"/>
          <w:color w:val="000000"/>
          <w:kern w:val="2"/>
          <w:sz w:val="24"/>
          <w:szCs w:val="24"/>
          <w:u w:val="single"/>
        </w:rPr>
      </w:pPr>
      <w:r>
        <w:rPr>
          <w:rFonts w:hint="eastAsia" w:ascii="宋体" w:hAnsi="宋体" w:eastAsia="宋体"/>
          <w:color w:val="000000"/>
          <w:kern w:val="2"/>
          <w:sz w:val="24"/>
          <w:szCs w:val="24"/>
        </w:rPr>
        <w:t>3.1交付方式：</w:t>
      </w:r>
      <w:r>
        <w:rPr>
          <w:rFonts w:hint="eastAsia" w:ascii="宋体" w:hAnsi="宋体" w:eastAsia="宋体"/>
          <w:color w:val="000000"/>
          <w:kern w:val="2"/>
          <w:sz w:val="24"/>
          <w:szCs w:val="24"/>
          <w:u w:val="single"/>
        </w:rPr>
        <w:t>乙方按甲方书面通知之日，运送至甲方指定地点，经甲方指定收货人书面签收，则为完成交付</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3.1交付时间：___________________</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3.2交付地点：___________________</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四、货物包装、发运及运输</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4.1 乙方应在货物发运前根据运输距离、防潮、防震、防锈和防破损装卸等要求进行相应的包装，以保证货物安全运达甲方指定地点。</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4.2 使用说明书、质量检验证明书、随配附件和工具以及清单一并附于货物内。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4.3 乙方在货物发运手续办理完毕后24小时内或货到甲方48小时前通知甲方，以准备接货。</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4.4 货物在交付甲方前发生的风险均由乙方负责。</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五、</w:t>
      </w:r>
      <w:r>
        <w:rPr>
          <w:rFonts w:hint="eastAsia" w:ascii="宋体" w:hAnsi="宋体" w:eastAsia="宋体"/>
          <w:b/>
          <w:color w:val="000000"/>
          <w:kern w:val="2"/>
          <w:sz w:val="24"/>
          <w:szCs w:val="24"/>
        </w:rPr>
        <w:t>质量保证及售后服务</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5.3上述货物的质保期年。（自交货验收合格次日起计算），因人为因素出现的故障不在免费保修范围内。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5.4在质保期内，如在使用过程中发生质量问题，乙方在接到甲方通知后在_________小时内响应，并在小时内赶到甲方现场，免费予以排除故障、修复或者更换零部件。如未及时维修的，甲方委托他人维修，维修费从合同款中扣除或由乙方承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5.5 在质保期内，乙方应对货物出现的质量及安全问题负责处理解决并承担一切费用。</w:t>
      </w:r>
    </w:p>
    <w:p>
      <w:pPr>
        <w:widowControl w:val="0"/>
        <w:adjustRightInd/>
        <w:snapToGrid/>
        <w:spacing w:before="120" w:after="120" w:line="330" w:lineRule="atLeast"/>
        <w:ind w:firstLine="360" w:firstLineChars="150"/>
        <w:jc w:val="both"/>
        <w:rPr>
          <w:rFonts w:ascii="宋体" w:hAnsi="宋体" w:eastAsia="宋体"/>
          <w:color w:val="000000"/>
          <w:kern w:val="2"/>
          <w:sz w:val="24"/>
          <w:szCs w:val="24"/>
        </w:rPr>
      </w:pPr>
      <w:r>
        <w:rPr>
          <w:rFonts w:hint="eastAsia" w:ascii="宋体" w:hAnsi="宋体" w:eastAsia="宋体"/>
          <w:color w:val="000000"/>
          <w:kern w:val="2"/>
          <w:sz w:val="24"/>
          <w:szCs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六、调试和验收</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6.1 乙方交货前应对货物全面检查并对验收文件进行整理，列出清单提交甲方，检验的结果亦应随货物交甲方。</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u w:val="single"/>
        </w:rPr>
      </w:pPr>
      <w:r>
        <w:rPr>
          <w:rFonts w:hint="eastAsia" w:ascii="宋体" w:hAnsi="宋体" w:eastAsia="宋体"/>
          <w:color w:val="000000"/>
          <w:kern w:val="2"/>
          <w:sz w:val="24"/>
          <w:szCs w:val="24"/>
        </w:rPr>
        <w:t>6.2 甲方对乙方提供的货物在使用前进行调试时，乙方需负责安装并培训甲方的使用操作人员，并协助甲方一起调试，直到符合技术要求。</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6.3 在安装、调试和验收过程中，如发现有漏件、缺件，乙方应无条件、无偿补齐，所发生的一切费用，视为已包含在投标时的投标报价中，且并不因此而影响交付甲方使用的时间。</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6.4 甲方对乙方提交的货物依据招标文件上的技术规格要求和国家有关质量标准进行现场初步验收。外观、说明书符合招标文件技术要求的，给予签收，初步验收不合格的不予签收。货到后，甲方需在10个工作日内完成初步验收。</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6.5 设备、材料安装、调试结束，甲、乙双方派员共同验收，达到验收标准则验收合格。验收完毕后出具验收结果报告并经双方签字确认；验收相关费用由乙方承担。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七、技术资料</w:t>
      </w:r>
    </w:p>
    <w:p>
      <w:pPr>
        <w:widowControl w:val="0"/>
        <w:adjustRightInd/>
        <w:snapToGrid/>
        <w:spacing w:before="120" w:after="120" w:line="330" w:lineRule="atLeast"/>
        <w:ind w:firstLine="480" w:firstLineChars="200"/>
        <w:jc w:val="both"/>
        <w:rPr>
          <w:rFonts w:ascii="宋体" w:hAnsi="宋体" w:eastAsia="宋体"/>
          <w:b/>
          <w:color w:val="000000"/>
          <w:kern w:val="2"/>
          <w:sz w:val="24"/>
          <w:szCs w:val="24"/>
        </w:rPr>
      </w:pPr>
      <w:r>
        <w:rPr>
          <w:rFonts w:hint="eastAsia" w:ascii="宋体" w:hAnsi="宋体" w:eastAsia="宋体"/>
          <w:color w:val="000000"/>
          <w:kern w:val="2"/>
          <w:sz w:val="24"/>
          <w:szCs w:val="24"/>
        </w:rPr>
        <w:t>7.1乙方应按招标文件规定的时间向甲方提供使用货物的有关技术资料。</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八、知识产权</w:t>
      </w:r>
    </w:p>
    <w:p>
      <w:pPr>
        <w:spacing w:line="330" w:lineRule="atLeast"/>
        <w:ind w:firstLine="480" w:firstLineChars="200"/>
        <w:rPr>
          <w:rFonts w:ascii="宋体" w:hAnsi="宋体" w:eastAsia="宋体"/>
          <w:color w:val="000000"/>
          <w:sz w:val="24"/>
          <w:szCs w:val="24"/>
        </w:rPr>
      </w:pPr>
      <w:r>
        <w:rPr>
          <w:rFonts w:hint="eastAsia" w:ascii="宋体" w:hAnsi="宋体" w:eastAsia="宋体"/>
          <w:color w:val="000000"/>
          <w:sz w:val="24"/>
          <w:szCs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九、违约责任</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9.1 甲方无正当理由拒收货物的，甲方向乙方偿付拒收货款总值的万分之五违约金。甲方未按合同规定的时间和要求向乙方提供相关安装条件，乙方交付时间顺延。</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9.2 甲方无故迟延支付货款的,甲方应按逾期付款总额每日万分之五向乙方支付违约金。</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9.4 乙方供给甲方的设备、材料及乙方自己的施工用具，进入甲方工地现场后的保管，由乙方负责，乙方在甲方工地现场安装、调试、验收人员的安全、保险、食宿和交通由乙方全权负责。</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9.6 如未能通过验收，乙方所供货物应在验收后一周内运离安装地点，所需费用由乙方承担，如乙方未在验收后一个月内运离，视为乙方放弃该货物，甲方有权自行处置（包括废物处理），同时，乙方还需支付甲方总货款的10%作为违约金。</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9.8 乙方履行义务不符合合同约定时，甲方有权扣减本合同总金额的10%的货款，</w:t>
      </w:r>
      <w:r>
        <w:rPr>
          <w:rFonts w:hint="eastAsia" w:ascii="宋体" w:hAnsi="宋体" w:eastAsia="宋体" w:cs="宋体"/>
          <w:color w:val="000000"/>
          <w:kern w:val="2"/>
          <w:sz w:val="24"/>
          <w:szCs w:val="24"/>
        </w:rPr>
        <w:t>尾款不足10%的，乙方应当补足</w:t>
      </w:r>
      <w:r>
        <w:rPr>
          <w:rFonts w:hint="eastAsia" w:ascii="宋体" w:hAnsi="宋体" w:eastAsia="宋体"/>
          <w:color w:val="000000"/>
          <w:kern w:val="2"/>
          <w:sz w:val="24"/>
          <w:szCs w:val="24"/>
        </w:rPr>
        <w:t>。</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十、不可抗力事件处理</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10.1 在合同有效期内，任何一方因不可抗力事件导致不能履行合同，则合同履行期可延长，其延长期与不可抗力影响期相同。</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10.2 不可抗力事件发生后，应立即通知对方，并寄送有关权威机构出具的证明。</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10.3 不可抗力事件延续30天以上，双方应通过友好协商，确定是否继续履行合同。</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十一、诉讼</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双方在执行合同中所发生的一切争议，应通过协商解决。如协商不成，双方均应向甲方所在地人民法院提起诉讼。</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十二、合同生效及其它</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12.1招投标文件作为合同的附件，与本合同具有同等法律效力。合同经双方法定代表人或授权委托代表人签字、盖章后生效。</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12.2本合同未尽事宜，遵照《中华人民共和国合同法》有关条文执行。</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12.3 本合同正本一式陆份，甲方伍份，乙方壹份，具有同等法律效力。</w:t>
      </w:r>
    </w:p>
    <w:p>
      <w:pPr>
        <w:widowControl w:val="0"/>
        <w:adjustRightInd/>
        <w:snapToGrid/>
        <w:spacing w:before="120" w:after="120" w:line="330" w:lineRule="atLeast"/>
        <w:ind w:firstLine="480" w:firstLineChars="200"/>
        <w:jc w:val="both"/>
        <w:rPr>
          <w:rFonts w:ascii="宋体" w:hAnsi="宋体" w:eastAsia="宋体"/>
          <w:color w:val="000000"/>
          <w:kern w:val="2"/>
          <w:sz w:val="28"/>
          <w:szCs w:val="28"/>
        </w:rPr>
      </w:pPr>
      <w:r>
        <w:rPr>
          <w:rFonts w:hint="eastAsia" w:ascii="宋体" w:hAnsi="宋体" w:eastAsia="宋体"/>
          <w:color w:val="000000"/>
          <w:kern w:val="2"/>
          <w:sz w:val="24"/>
          <w:szCs w:val="24"/>
        </w:rPr>
        <w:t>12.4 其他：。</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 xml:space="preserve">甲方： 南京医科大学                         乙方： </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 xml:space="preserve">地址：南京市江宁区龙眠大道101号            地址： </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法定代表人或授权代表：                      法定代表人或授权代表：</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联系电话：                                  联系电话：</w:t>
      </w:r>
    </w:p>
    <w:p>
      <w:pPr>
        <w:widowControl w:val="0"/>
        <w:snapToGrid/>
        <w:spacing w:before="120" w:after="120" w:line="360" w:lineRule="auto"/>
        <w:textAlignment w:val="baseline"/>
        <w:rPr>
          <w:rFonts w:asciiTheme="minorEastAsia" w:hAnsiTheme="minorEastAsia" w:eastAsiaTheme="minorEastAsia"/>
          <w:sz w:val="28"/>
          <w:szCs w:val="28"/>
        </w:rPr>
      </w:pPr>
    </w:p>
    <w:p>
      <w:pPr>
        <w:pStyle w:val="12"/>
        <w:spacing w:before="120" w:after="120" w:line="400" w:lineRule="exact"/>
        <w:ind w:left="550" w:leftChars="25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宋体" w:hAns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24</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pStyle w:val="5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5"/>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035E2"/>
    <w:rsid w:val="00015E78"/>
    <w:rsid w:val="00026CA5"/>
    <w:rsid w:val="00045531"/>
    <w:rsid w:val="000458DB"/>
    <w:rsid w:val="00046D67"/>
    <w:rsid w:val="000508AB"/>
    <w:rsid w:val="00050D10"/>
    <w:rsid w:val="00053D2D"/>
    <w:rsid w:val="00053D8C"/>
    <w:rsid w:val="0005451A"/>
    <w:rsid w:val="0005482A"/>
    <w:rsid w:val="000602F6"/>
    <w:rsid w:val="00062EBC"/>
    <w:rsid w:val="00063E5E"/>
    <w:rsid w:val="00070968"/>
    <w:rsid w:val="00075408"/>
    <w:rsid w:val="00080942"/>
    <w:rsid w:val="0008466D"/>
    <w:rsid w:val="00086A59"/>
    <w:rsid w:val="00090C36"/>
    <w:rsid w:val="0009546A"/>
    <w:rsid w:val="000A4EF6"/>
    <w:rsid w:val="000B08EC"/>
    <w:rsid w:val="000B0E83"/>
    <w:rsid w:val="000B538B"/>
    <w:rsid w:val="000C1A94"/>
    <w:rsid w:val="000C3635"/>
    <w:rsid w:val="000C6FE5"/>
    <w:rsid w:val="000C7C51"/>
    <w:rsid w:val="000D0163"/>
    <w:rsid w:val="000D58DA"/>
    <w:rsid w:val="000E2C56"/>
    <w:rsid w:val="000F0270"/>
    <w:rsid w:val="000F4CEA"/>
    <w:rsid w:val="001006C8"/>
    <w:rsid w:val="00100D01"/>
    <w:rsid w:val="00101A8A"/>
    <w:rsid w:val="0012092A"/>
    <w:rsid w:val="00121616"/>
    <w:rsid w:val="001225B3"/>
    <w:rsid w:val="00124A3C"/>
    <w:rsid w:val="00125C10"/>
    <w:rsid w:val="00141840"/>
    <w:rsid w:val="00156387"/>
    <w:rsid w:val="0016026B"/>
    <w:rsid w:val="00160A9B"/>
    <w:rsid w:val="001647DF"/>
    <w:rsid w:val="00166953"/>
    <w:rsid w:val="001674B0"/>
    <w:rsid w:val="00167738"/>
    <w:rsid w:val="00170D4A"/>
    <w:rsid w:val="0018443B"/>
    <w:rsid w:val="001866D1"/>
    <w:rsid w:val="00193521"/>
    <w:rsid w:val="001A049C"/>
    <w:rsid w:val="001A345A"/>
    <w:rsid w:val="001B6A78"/>
    <w:rsid w:val="001C20DD"/>
    <w:rsid w:val="001C2E89"/>
    <w:rsid w:val="001C4B26"/>
    <w:rsid w:val="001C64AC"/>
    <w:rsid w:val="001D0768"/>
    <w:rsid w:val="001D281C"/>
    <w:rsid w:val="001D5A6A"/>
    <w:rsid w:val="001E030A"/>
    <w:rsid w:val="001E1FD2"/>
    <w:rsid w:val="001E4020"/>
    <w:rsid w:val="001E73B5"/>
    <w:rsid w:val="001F4F63"/>
    <w:rsid w:val="001F7BDA"/>
    <w:rsid w:val="0020432E"/>
    <w:rsid w:val="002070F5"/>
    <w:rsid w:val="00232127"/>
    <w:rsid w:val="002327D4"/>
    <w:rsid w:val="00233501"/>
    <w:rsid w:val="00244DA0"/>
    <w:rsid w:val="0025535E"/>
    <w:rsid w:val="00266C11"/>
    <w:rsid w:val="00272CB4"/>
    <w:rsid w:val="00277825"/>
    <w:rsid w:val="00291402"/>
    <w:rsid w:val="00295368"/>
    <w:rsid w:val="002A038E"/>
    <w:rsid w:val="002A4DD3"/>
    <w:rsid w:val="002B7202"/>
    <w:rsid w:val="002D2055"/>
    <w:rsid w:val="002E0FA7"/>
    <w:rsid w:val="002F2003"/>
    <w:rsid w:val="002F20E4"/>
    <w:rsid w:val="002F225B"/>
    <w:rsid w:val="002F48AF"/>
    <w:rsid w:val="002F6027"/>
    <w:rsid w:val="00300F88"/>
    <w:rsid w:val="00304B4B"/>
    <w:rsid w:val="00306735"/>
    <w:rsid w:val="0031681A"/>
    <w:rsid w:val="00323B43"/>
    <w:rsid w:val="0032616D"/>
    <w:rsid w:val="00327947"/>
    <w:rsid w:val="00333B1A"/>
    <w:rsid w:val="00336542"/>
    <w:rsid w:val="00341D73"/>
    <w:rsid w:val="00344696"/>
    <w:rsid w:val="003525A5"/>
    <w:rsid w:val="003538BE"/>
    <w:rsid w:val="003548BA"/>
    <w:rsid w:val="00356BFB"/>
    <w:rsid w:val="0036460C"/>
    <w:rsid w:val="00365285"/>
    <w:rsid w:val="0037490B"/>
    <w:rsid w:val="00375EF8"/>
    <w:rsid w:val="0038270D"/>
    <w:rsid w:val="00397BA9"/>
    <w:rsid w:val="003B1427"/>
    <w:rsid w:val="003B2DF7"/>
    <w:rsid w:val="003B3CF8"/>
    <w:rsid w:val="003D2715"/>
    <w:rsid w:val="003D37D8"/>
    <w:rsid w:val="003E2F0D"/>
    <w:rsid w:val="003F3546"/>
    <w:rsid w:val="003F6A3E"/>
    <w:rsid w:val="003F7CC8"/>
    <w:rsid w:val="00404C89"/>
    <w:rsid w:val="00407B8A"/>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53D45"/>
    <w:rsid w:val="0046236F"/>
    <w:rsid w:val="004677CB"/>
    <w:rsid w:val="00476FD6"/>
    <w:rsid w:val="00477C2E"/>
    <w:rsid w:val="004808C6"/>
    <w:rsid w:val="0048359D"/>
    <w:rsid w:val="004A4F2D"/>
    <w:rsid w:val="004B2157"/>
    <w:rsid w:val="004C1035"/>
    <w:rsid w:val="004E0EEC"/>
    <w:rsid w:val="004E3402"/>
    <w:rsid w:val="004F54A0"/>
    <w:rsid w:val="004F5C9E"/>
    <w:rsid w:val="004F6DEC"/>
    <w:rsid w:val="004F7103"/>
    <w:rsid w:val="005129DB"/>
    <w:rsid w:val="00514BC2"/>
    <w:rsid w:val="00523B5F"/>
    <w:rsid w:val="005253AD"/>
    <w:rsid w:val="0053104C"/>
    <w:rsid w:val="00557F99"/>
    <w:rsid w:val="0057236C"/>
    <w:rsid w:val="00575343"/>
    <w:rsid w:val="0057580C"/>
    <w:rsid w:val="00575FC2"/>
    <w:rsid w:val="0058115B"/>
    <w:rsid w:val="00582807"/>
    <w:rsid w:val="00582977"/>
    <w:rsid w:val="0058345F"/>
    <w:rsid w:val="005866DD"/>
    <w:rsid w:val="00590D7C"/>
    <w:rsid w:val="0059317B"/>
    <w:rsid w:val="00596F67"/>
    <w:rsid w:val="005B00B9"/>
    <w:rsid w:val="005B31D5"/>
    <w:rsid w:val="005B44B4"/>
    <w:rsid w:val="005C005E"/>
    <w:rsid w:val="005C66D3"/>
    <w:rsid w:val="005D2E1F"/>
    <w:rsid w:val="005D2F20"/>
    <w:rsid w:val="005D512F"/>
    <w:rsid w:val="005E4D28"/>
    <w:rsid w:val="005F103C"/>
    <w:rsid w:val="0060453F"/>
    <w:rsid w:val="006045FD"/>
    <w:rsid w:val="006073C6"/>
    <w:rsid w:val="006160DD"/>
    <w:rsid w:val="00621845"/>
    <w:rsid w:val="006218B4"/>
    <w:rsid w:val="006411FE"/>
    <w:rsid w:val="00642C1A"/>
    <w:rsid w:val="006600C0"/>
    <w:rsid w:val="00663D89"/>
    <w:rsid w:val="00681928"/>
    <w:rsid w:val="00681F07"/>
    <w:rsid w:val="00691E14"/>
    <w:rsid w:val="00695BF8"/>
    <w:rsid w:val="006977C3"/>
    <w:rsid w:val="006A096A"/>
    <w:rsid w:val="006A1BC4"/>
    <w:rsid w:val="006B0EB6"/>
    <w:rsid w:val="006B4013"/>
    <w:rsid w:val="006B6C40"/>
    <w:rsid w:val="006C6B1D"/>
    <w:rsid w:val="006D1B0D"/>
    <w:rsid w:val="006E1848"/>
    <w:rsid w:val="006E7A99"/>
    <w:rsid w:val="006F283A"/>
    <w:rsid w:val="00705F93"/>
    <w:rsid w:val="00710360"/>
    <w:rsid w:val="00710E53"/>
    <w:rsid w:val="0071106B"/>
    <w:rsid w:val="007178CD"/>
    <w:rsid w:val="00722B49"/>
    <w:rsid w:val="00725153"/>
    <w:rsid w:val="00726D9C"/>
    <w:rsid w:val="00731E48"/>
    <w:rsid w:val="0074740B"/>
    <w:rsid w:val="00747556"/>
    <w:rsid w:val="007543D9"/>
    <w:rsid w:val="00754FBF"/>
    <w:rsid w:val="00755373"/>
    <w:rsid w:val="00755FCB"/>
    <w:rsid w:val="00773C37"/>
    <w:rsid w:val="00776DF3"/>
    <w:rsid w:val="00791FC9"/>
    <w:rsid w:val="00792482"/>
    <w:rsid w:val="0079316D"/>
    <w:rsid w:val="007947E9"/>
    <w:rsid w:val="007A58F8"/>
    <w:rsid w:val="007A7F91"/>
    <w:rsid w:val="007B3D32"/>
    <w:rsid w:val="007E0F09"/>
    <w:rsid w:val="007E2F52"/>
    <w:rsid w:val="007E466E"/>
    <w:rsid w:val="007E5C50"/>
    <w:rsid w:val="007F1718"/>
    <w:rsid w:val="007F18E6"/>
    <w:rsid w:val="007F226B"/>
    <w:rsid w:val="00801146"/>
    <w:rsid w:val="008130CC"/>
    <w:rsid w:val="00813B97"/>
    <w:rsid w:val="008324FE"/>
    <w:rsid w:val="0083334C"/>
    <w:rsid w:val="00833AE1"/>
    <w:rsid w:val="00834323"/>
    <w:rsid w:val="00836046"/>
    <w:rsid w:val="00841379"/>
    <w:rsid w:val="0085068C"/>
    <w:rsid w:val="00853130"/>
    <w:rsid w:val="00853556"/>
    <w:rsid w:val="008545FA"/>
    <w:rsid w:val="008564E0"/>
    <w:rsid w:val="00863149"/>
    <w:rsid w:val="00873044"/>
    <w:rsid w:val="00881E8B"/>
    <w:rsid w:val="00891674"/>
    <w:rsid w:val="00891691"/>
    <w:rsid w:val="008940B1"/>
    <w:rsid w:val="008B154E"/>
    <w:rsid w:val="008B7726"/>
    <w:rsid w:val="008E0843"/>
    <w:rsid w:val="008E128D"/>
    <w:rsid w:val="008E6860"/>
    <w:rsid w:val="008F3684"/>
    <w:rsid w:val="008F5952"/>
    <w:rsid w:val="008F6FC4"/>
    <w:rsid w:val="008F7663"/>
    <w:rsid w:val="00901E4A"/>
    <w:rsid w:val="009124F7"/>
    <w:rsid w:val="00913A47"/>
    <w:rsid w:val="00914B43"/>
    <w:rsid w:val="00917C9A"/>
    <w:rsid w:val="00922C31"/>
    <w:rsid w:val="009330FF"/>
    <w:rsid w:val="00937A6C"/>
    <w:rsid w:val="00940175"/>
    <w:rsid w:val="00944F3E"/>
    <w:rsid w:val="00953E8C"/>
    <w:rsid w:val="00954E6B"/>
    <w:rsid w:val="009569A2"/>
    <w:rsid w:val="0095734E"/>
    <w:rsid w:val="0096102A"/>
    <w:rsid w:val="0097250E"/>
    <w:rsid w:val="00981533"/>
    <w:rsid w:val="00982CE2"/>
    <w:rsid w:val="00985BBC"/>
    <w:rsid w:val="00994DC6"/>
    <w:rsid w:val="0099642C"/>
    <w:rsid w:val="009A7A76"/>
    <w:rsid w:val="009B386E"/>
    <w:rsid w:val="009B43A1"/>
    <w:rsid w:val="009B4528"/>
    <w:rsid w:val="009B498C"/>
    <w:rsid w:val="009C30A7"/>
    <w:rsid w:val="009C69CD"/>
    <w:rsid w:val="009D140B"/>
    <w:rsid w:val="009D4D2E"/>
    <w:rsid w:val="009D6181"/>
    <w:rsid w:val="009E1102"/>
    <w:rsid w:val="009E4FC4"/>
    <w:rsid w:val="009E5162"/>
    <w:rsid w:val="009E5457"/>
    <w:rsid w:val="009E5541"/>
    <w:rsid w:val="009F148D"/>
    <w:rsid w:val="009F2B90"/>
    <w:rsid w:val="009F453D"/>
    <w:rsid w:val="009F486A"/>
    <w:rsid w:val="00A02CA7"/>
    <w:rsid w:val="00A157F0"/>
    <w:rsid w:val="00A25E57"/>
    <w:rsid w:val="00A3339A"/>
    <w:rsid w:val="00A4464F"/>
    <w:rsid w:val="00A46E8D"/>
    <w:rsid w:val="00A478D2"/>
    <w:rsid w:val="00A67624"/>
    <w:rsid w:val="00A719C8"/>
    <w:rsid w:val="00A754E0"/>
    <w:rsid w:val="00A84971"/>
    <w:rsid w:val="00A90F97"/>
    <w:rsid w:val="00A94D13"/>
    <w:rsid w:val="00AA10B3"/>
    <w:rsid w:val="00AA278C"/>
    <w:rsid w:val="00AB3CFF"/>
    <w:rsid w:val="00AC2095"/>
    <w:rsid w:val="00AC2325"/>
    <w:rsid w:val="00AC3CE4"/>
    <w:rsid w:val="00AD713B"/>
    <w:rsid w:val="00AE5082"/>
    <w:rsid w:val="00AE6332"/>
    <w:rsid w:val="00AF0E8F"/>
    <w:rsid w:val="00AF3ACC"/>
    <w:rsid w:val="00AF539E"/>
    <w:rsid w:val="00B02EA5"/>
    <w:rsid w:val="00B06748"/>
    <w:rsid w:val="00B10D4E"/>
    <w:rsid w:val="00B1240C"/>
    <w:rsid w:val="00B136C8"/>
    <w:rsid w:val="00B14B96"/>
    <w:rsid w:val="00B300AE"/>
    <w:rsid w:val="00B32830"/>
    <w:rsid w:val="00B33A83"/>
    <w:rsid w:val="00B445BC"/>
    <w:rsid w:val="00B44A8C"/>
    <w:rsid w:val="00B47081"/>
    <w:rsid w:val="00B4709A"/>
    <w:rsid w:val="00B47424"/>
    <w:rsid w:val="00B517FD"/>
    <w:rsid w:val="00B52344"/>
    <w:rsid w:val="00B531AF"/>
    <w:rsid w:val="00B54479"/>
    <w:rsid w:val="00B65818"/>
    <w:rsid w:val="00B70A98"/>
    <w:rsid w:val="00B7298F"/>
    <w:rsid w:val="00B767A7"/>
    <w:rsid w:val="00B93218"/>
    <w:rsid w:val="00B9381E"/>
    <w:rsid w:val="00B9568F"/>
    <w:rsid w:val="00B97749"/>
    <w:rsid w:val="00B97E23"/>
    <w:rsid w:val="00BA78DC"/>
    <w:rsid w:val="00BB2734"/>
    <w:rsid w:val="00BB3582"/>
    <w:rsid w:val="00BB53EA"/>
    <w:rsid w:val="00BC5C79"/>
    <w:rsid w:val="00BC7A5C"/>
    <w:rsid w:val="00BD02B4"/>
    <w:rsid w:val="00BD2AED"/>
    <w:rsid w:val="00BD6A49"/>
    <w:rsid w:val="00BD6FBD"/>
    <w:rsid w:val="00BD7493"/>
    <w:rsid w:val="00BD77ED"/>
    <w:rsid w:val="00BD7F30"/>
    <w:rsid w:val="00BE7284"/>
    <w:rsid w:val="00BF10CA"/>
    <w:rsid w:val="00BF363B"/>
    <w:rsid w:val="00BF3F02"/>
    <w:rsid w:val="00BF3F2A"/>
    <w:rsid w:val="00BF688E"/>
    <w:rsid w:val="00BF6B18"/>
    <w:rsid w:val="00C00BC7"/>
    <w:rsid w:val="00C12969"/>
    <w:rsid w:val="00C13584"/>
    <w:rsid w:val="00C1690A"/>
    <w:rsid w:val="00C30C20"/>
    <w:rsid w:val="00C40E65"/>
    <w:rsid w:val="00C4430A"/>
    <w:rsid w:val="00C541CB"/>
    <w:rsid w:val="00C55166"/>
    <w:rsid w:val="00C714F0"/>
    <w:rsid w:val="00C76558"/>
    <w:rsid w:val="00C86FD4"/>
    <w:rsid w:val="00C95263"/>
    <w:rsid w:val="00C96654"/>
    <w:rsid w:val="00CB2130"/>
    <w:rsid w:val="00CB3C11"/>
    <w:rsid w:val="00CB5A26"/>
    <w:rsid w:val="00CD1451"/>
    <w:rsid w:val="00CD4D83"/>
    <w:rsid w:val="00CE3A7B"/>
    <w:rsid w:val="00D145C8"/>
    <w:rsid w:val="00D1587C"/>
    <w:rsid w:val="00D278D7"/>
    <w:rsid w:val="00D31D50"/>
    <w:rsid w:val="00D32565"/>
    <w:rsid w:val="00D4211D"/>
    <w:rsid w:val="00D47DB0"/>
    <w:rsid w:val="00D5054E"/>
    <w:rsid w:val="00D53633"/>
    <w:rsid w:val="00D56CB6"/>
    <w:rsid w:val="00D61AE7"/>
    <w:rsid w:val="00D634CC"/>
    <w:rsid w:val="00D77EC9"/>
    <w:rsid w:val="00D81D23"/>
    <w:rsid w:val="00D9005C"/>
    <w:rsid w:val="00DA1746"/>
    <w:rsid w:val="00DA222F"/>
    <w:rsid w:val="00DA4334"/>
    <w:rsid w:val="00DB1721"/>
    <w:rsid w:val="00DB5FD8"/>
    <w:rsid w:val="00DC26C4"/>
    <w:rsid w:val="00DE05FA"/>
    <w:rsid w:val="00DE2B16"/>
    <w:rsid w:val="00DE421A"/>
    <w:rsid w:val="00DF12D7"/>
    <w:rsid w:val="00DF16E1"/>
    <w:rsid w:val="00DF2D13"/>
    <w:rsid w:val="00E011DE"/>
    <w:rsid w:val="00E12D6B"/>
    <w:rsid w:val="00E14FB9"/>
    <w:rsid w:val="00E157E7"/>
    <w:rsid w:val="00E27FD1"/>
    <w:rsid w:val="00E31BD3"/>
    <w:rsid w:val="00E33A94"/>
    <w:rsid w:val="00E34600"/>
    <w:rsid w:val="00E478EF"/>
    <w:rsid w:val="00E52BFB"/>
    <w:rsid w:val="00E537C7"/>
    <w:rsid w:val="00E53CF5"/>
    <w:rsid w:val="00E56996"/>
    <w:rsid w:val="00E56F69"/>
    <w:rsid w:val="00E57C17"/>
    <w:rsid w:val="00E630A4"/>
    <w:rsid w:val="00E75074"/>
    <w:rsid w:val="00E81B75"/>
    <w:rsid w:val="00E85DDD"/>
    <w:rsid w:val="00E95E13"/>
    <w:rsid w:val="00EA62FB"/>
    <w:rsid w:val="00EA6CDE"/>
    <w:rsid w:val="00EB0C34"/>
    <w:rsid w:val="00EB187E"/>
    <w:rsid w:val="00EC10FD"/>
    <w:rsid w:val="00EC3C23"/>
    <w:rsid w:val="00ED0853"/>
    <w:rsid w:val="00EE2837"/>
    <w:rsid w:val="00EE4B82"/>
    <w:rsid w:val="00EE7046"/>
    <w:rsid w:val="00EF30DF"/>
    <w:rsid w:val="00EF69B3"/>
    <w:rsid w:val="00F04061"/>
    <w:rsid w:val="00F12C56"/>
    <w:rsid w:val="00F14151"/>
    <w:rsid w:val="00F152B0"/>
    <w:rsid w:val="00F212D3"/>
    <w:rsid w:val="00F27EE2"/>
    <w:rsid w:val="00F30A36"/>
    <w:rsid w:val="00F34B4A"/>
    <w:rsid w:val="00F34DF9"/>
    <w:rsid w:val="00F40A71"/>
    <w:rsid w:val="00F4455E"/>
    <w:rsid w:val="00F5231B"/>
    <w:rsid w:val="00F6271C"/>
    <w:rsid w:val="00F64CC8"/>
    <w:rsid w:val="00F840BC"/>
    <w:rsid w:val="00F8761F"/>
    <w:rsid w:val="00F94053"/>
    <w:rsid w:val="00F952C7"/>
    <w:rsid w:val="00F96BF5"/>
    <w:rsid w:val="00FA1FA5"/>
    <w:rsid w:val="00FA3430"/>
    <w:rsid w:val="00FA4F5F"/>
    <w:rsid w:val="00FA70C9"/>
    <w:rsid w:val="00FA7B45"/>
    <w:rsid w:val="00FB608D"/>
    <w:rsid w:val="00FC0456"/>
    <w:rsid w:val="00FC3104"/>
    <w:rsid w:val="00FD1BA0"/>
    <w:rsid w:val="00FD5D81"/>
    <w:rsid w:val="00FF44F0"/>
    <w:rsid w:val="00FF7A26"/>
    <w:rsid w:val="01ED1155"/>
    <w:rsid w:val="063350CB"/>
    <w:rsid w:val="0A98458D"/>
    <w:rsid w:val="0ABC69E4"/>
    <w:rsid w:val="0FB2207F"/>
    <w:rsid w:val="182F63A2"/>
    <w:rsid w:val="1A38282E"/>
    <w:rsid w:val="1AC07EBA"/>
    <w:rsid w:val="1ACB3F2E"/>
    <w:rsid w:val="214D1F33"/>
    <w:rsid w:val="24270744"/>
    <w:rsid w:val="245959CA"/>
    <w:rsid w:val="27F72D91"/>
    <w:rsid w:val="283D67F1"/>
    <w:rsid w:val="28872939"/>
    <w:rsid w:val="29F3755B"/>
    <w:rsid w:val="2F877A0B"/>
    <w:rsid w:val="336F094C"/>
    <w:rsid w:val="339A7CF0"/>
    <w:rsid w:val="357E652D"/>
    <w:rsid w:val="37007B1D"/>
    <w:rsid w:val="39992DC2"/>
    <w:rsid w:val="3CD26FFC"/>
    <w:rsid w:val="469B3C38"/>
    <w:rsid w:val="490568D4"/>
    <w:rsid w:val="4DBD7A0D"/>
    <w:rsid w:val="4ED75261"/>
    <w:rsid w:val="54E3268C"/>
    <w:rsid w:val="55340C9A"/>
    <w:rsid w:val="593A05D8"/>
    <w:rsid w:val="59B5371D"/>
    <w:rsid w:val="5BAD7C9A"/>
    <w:rsid w:val="63D3567D"/>
    <w:rsid w:val="6D7A03D9"/>
    <w:rsid w:val="6E5740DB"/>
    <w:rsid w:val="70404F3F"/>
    <w:rsid w:val="7394635A"/>
    <w:rsid w:val="775753CC"/>
    <w:rsid w:val="79B26785"/>
    <w:rsid w:val="7B242F5F"/>
    <w:rsid w:val="7BC73CB0"/>
    <w:rsid w:val="7CAE50B4"/>
    <w:rsid w:val="7E1B7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8"/>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2"/>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7"/>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9"/>
    <w:unhideWhenUsed/>
    <w:qFormat/>
    <w:uiPriority w:val="99"/>
  </w:style>
  <w:style w:type="paragraph" w:styleId="8">
    <w:name w:val="Body Text"/>
    <w:basedOn w:val="1"/>
    <w:link w:val="43"/>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link w:val="52"/>
    <w:semiHidden/>
    <w:unhideWhenUsed/>
    <w:qFormat/>
    <w:uiPriority w:val="99"/>
    <w:pPr>
      <w:spacing w:after="120"/>
      <w:ind w:left="420" w:leftChars="200"/>
    </w:pPr>
  </w:style>
  <w:style w:type="paragraph" w:styleId="10">
    <w:name w:val="envelope return"/>
    <w:basedOn w:val="1"/>
    <w:qFormat/>
    <w:uiPriority w:val="0"/>
    <w:rPr>
      <w:rFonts w:ascii="Arial" w:hAnsi="Arial"/>
    </w:rPr>
  </w:style>
  <w:style w:type="paragraph" w:styleId="11">
    <w:name w:val="index 4"/>
    <w:basedOn w:val="1"/>
    <w:next w:val="1"/>
    <w:qFormat/>
    <w:uiPriority w:val="99"/>
    <w:pPr>
      <w:widowControl w:val="0"/>
      <w:adjustRightInd/>
      <w:snapToGrid/>
      <w:spacing w:after="0"/>
      <w:ind w:left="600" w:leftChars="600"/>
      <w:jc w:val="both"/>
    </w:pPr>
    <w:rPr>
      <w:rFonts w:ascii="Verdana" w:hAnsi="Verdana" w:eastAsia="宋体" w:cs="Calibri"/>
      <w:kern w:val="2"/>
      <w:sz w:val="21"/>
      <w:szCs w:val="20"/>
    </w:rPr>
  </w:style>
  <w:style w:type="paragraph" w:styleId="12">
    <w:name w:val="Plain Text"/>
    <w:basedOn w:val="1"/>
    <w:link w:val="40"/>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8"/>
    <w:semiHidden/>
    <w:unhideWhenUsed/>
    <w:qFormat/>
    <w:uiPriority w:val="99"/>
    <w:pPr>
      <w:spacing w:after="0"/>
    </w:pPr>
    <w:rPr>
      <w:sz w:val="18"/>
      <w:szCs w:val="18"/>
    </w:rPr>
  </w:style>
  <w:style w:type="paragraph" w:styleId="14">
    <w:name w:val="footer"/>
    <w:basedOn w:val="1"/>
    <w:link w:val="27"/>
    <w:unhideWhenUsed/>
    <w:qFormat/>
    <w:uiPriority w:val="99"/>
    <w:pPr>
      <w:tabs>
        <w:tab w:val="center" w:pos="4153"/>
        <w:tab w:val="right" w:pos="8306"/>
      </w:tabs>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3"/>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annotation subject"/>
    <w:basedOn w:val="7"/>
    <w:next w:val="7"/>
    <w:link w:val="50"/>
    <w:semiHidden/>
    <w:unhideWhenUsed/>
    <w:qFormat/>
    <w:uiPriority w:val="99"/>
    <w:rPr>
      <w:b/>
      <w:bCs/>
    </w:rPr>
  </w:style>
  <w:style w:type="paragraph" w:styleId="20">
    <w:name w:val="Body Text First Indent 2"/>
    <w:basedOn w:val="9"/>
    <w:next w:val="1"/>
    <w:link w:val="53"/>
    <w:semiHidden/>
    <w:unhideWhenUsed/>
    <w:qFormat/>
    <w:uiPriority w:val="99"/>
    <w:pPr>
      <w:ind w:firstLine="420" w:firstLineChars="200"/>
    </w:p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unhideWhenUsed/>
    <w:qFormat/>
    <w:uiPriority w:val="0"/>
    <w:rPr>
      <w:sz w:val="21"/>
      <w:szCs w:val="21"/>
    </w:rPr>
  </w:style>
  <w:style w:type="character" w:customStyle="1" w:styleId="26">
    <w:name w:val="页眉 Char"/>
    <w:basedOn w:val="22"/>
    <w:link w:val="15"/>
    <w:qFormat/>
    <w:uiPriority w:val="99"/>
    <w:rPr>
      <w:rFonts w:ascii="Tahoma" w:hAnsi="Tahoma"/>
      <w:sz w:val="18"/>
      <w:szCs w:val="18"/>
    </w:rPr>
  </w:style>
  <w:style w:type="character" w:customStyle="1" w:styleId="27">
    <w:name w:val="页脚 Char"/>
    <w:basedOn w:val="22"/>
    <w:link w:val="14"/>
    <w:qFormat/>
    <w:uiPriority w:val="99"/>
    <w:rPr>
      <w:rFonts w:ascii="Tahoma" w:hAnsi="Tahoma"/>
      <w:sz w:val="18"/>
      <w:szCs w:val="18"/>
    </w:rPr>
  </w:style>
  <w:style w:type="character" w:customStyle="1" w:styleId="28">
    <w:name w:val="标题 1 Char"/>
    <w:basedOn w:val="22"/>
    <w:link w:val="2"/>
    <w:qFormat/>
    <w:uiPriority w:val="9"/>
    <w:rPr>
      <w:rFonts w:ascii="楷体_GB2312" w:hAnsi="Times New Roman" w:eastAsia="楷体_GB2312" w:cs="Times New Roman"/>
      <w:kern w:val="2"/>
      <w:sz w:val="28"/>
      <w:szCs w:val="28"/>
    </w:rPr>
  </w:style>
  <w:style w:type="paragraph" w:customStyle="1" w:styleId="29">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0">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1">
    <w:name w:val="标题 3 Char"/>
    <w:basedOn w:val="22"/>
    <w:link w:val="4"/>
    <w:qFormat/>
    <w:uiPriority w:val="0"/>
    <w:rPr>
      <w:rFonts w:ascii="Times New Roman" w:hAnsi="Times New Roman" w:eastAsia="宋体" w:cs="Times New Roman"/>
      <w:b/>
      <w:bCs/>
      <w:kern w:val="2"/>
      <w:sz w:val="32"/>
      <w:szCs w:val="32"/>
    </w:rPr>
  </w:style>
  <w:style w:type="character" w:customStyle="1" w:styleId="32">
    <w:name w:val="标题 4 Char"/>
    <w:basedOn w:val="22"/>
    <w:link w:val="6"/>
    <w:qFormat/>
    <w:uiPriority w:val="9"/>
    <w:rPr>
      <w:rFonts w:ascii="Arial" w:hAnsi="Arial" w:eastAsia="黑体" w:cs="Arial"/>
      <w:b/>
      <w:bCs/>
      <w:kern w:val="2"/>
      <w:sz w:val="28"/>
      <w:szCs w:val="28"/>
    </w:rPr>
  </w:style>
  <w:style w:type="character" w:customStyle="1" w:styleId="33">
    <w:name w:val="标题 Char1"/>
    <w:basedOn w:val="22"/>
    <w:link w:val="18"/>
    <w:qFormat/>
    <w:uiPriority w:val="0"/>
    <w:rPr>
      <w:rFonts w:ascii="Cambria" w:hAnsi="Cambria"/>
      <w:b/>
      <w:bCs/>
      <w:kern w:val="2"/>
      <w:sz w:val="32"/>
      <w:szCs w:val="32"/>
    </w:rPr>
  </w:style>
  <w:style w:type="character" w:customStyle="1" w:styleId="34">
    <w:name w:val="标题二 Char"/>
    <w:link w:val="35"/>
    <w:qFormat/>
    <w:uiPriority w:val="0"/>
    <w:rPr>
      <w:rFonts w:ascii="宋体" w:hAnsi="宋体" w:cs="Calibri"/>
      <w:b/>
      <w:color w:val="000000"/>
      <w:kern w:val="1"/>
      <w:sz w:val="28"/>
      <w:szCs w:val="28"/>
    </w:rPr>
  </w:style>
  <w:style w:type="paragraph" w:customStyle="1" w:styleId="35">
    <w:name w:val="标题二"/>
    <w:basedOn w:val="36"/>
    <w:link w:val="34"/>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6">
    <w:name w:val="List Paragraph"/>
    <w:basedOn w:val="1"/>
    <w:qFormat/>
    <w:uiPriority w:val="34"/>
    <w:pPr>
      <w:ind w:firstLine="420" w:firstLineChars="200"/>
    </w:pPr>
  </w:style>
  <w:style w:type="character" w:customStyle="1" w:styleId="37">
    <w:name w:val="正文缩进 Char"/>
    <w:link w:val="5"/>
    <w:qFormat/>
    <w:uiPriority w:val="0"/>
    <w:rPr>
      <w:kern w:val="2"/>
      <w:sz w:val="21"/>
      <w:szCs w:val="21"/>
    </w:rPr>
  </w:style>
  <w:style w:type="character" w:customStyle="1" w:styleId="38">
    <w:name w:val="标题 Char"/>
    <w:basedOn w:val="22"/>
    <w:qFormat/>
    <w:uiPriority w:val="10"/>
    <w:rPr>
      <w:rFonts w:eastAsia="宋体" w:asciiTheme="majorHAnsi" w:hAnsiTheme="majorHAnsi" w:cstheme="majorBidi"/>
      <w:b/>
      <w:bCs/>
      <w:sz w:val="32"/>
      <w:szCs w:val="32"/>
    </w:rPr>
  </w:style>
  <w:style w:type="character" w:customStyle="1" w:styleId="39">
    <w:name w:val="font1"/>
    <w:qFormat/>
    <w:uiPriority w:val="0"/>
    <w:rPr>
      <w:color w:val="333333"/>
      <w:spacing w:val="450"/>
      <w:sz w:val="18"/>
      <w:szCs w:val="18"/>
      <w:u w:val="none"/>
    </w:rPr>
  </w:style>
  <w:style w:type="character" w:customStyle="1" w:styleId="40">
    <w:name w:val="纯文本 Char"/>
    <w:link w:val="12"/>
    <w:qFormat/>
    <w:uiPriority w:val="0"/>
    <w:rPr>
      <w:rFonts w:ascii="宋体" w:hAnsi="Courier New" w:cs="Courier New"/>
      <w:kern w:val="2"/>
      <w:sz w:val="21"/>
      <w:szCs w:val="21"/>
    </w:rPr>
  </w:style>
  <w:style w:type="character" w:customStyle="1" w:styleId="41">
    <w:name w:val="纯文本 Char1"/>
    <w:basedOn w:val="22"/>
    <w:semiHidden/>
    <w:qFormat/>
    <w:uiPriority w:val="99"/>
    <w:rPr>
      <w:rFonts w:ascii="宋体" w:hAnsi="Courier New" w:eastAsia="宋体" w:cs="Courier New"/>
      <w:sz w:val="21"/>
      <w:szCs w:val="21"/>
    </w:rPr>
  </w:style>
  <w:style w:type="character" w:customStyle="1" w:styleId="42">
    <w:name w:val="标题 2 Char"/>
    <w:basedOn w:val="22"/>
    <w:link w:val="3"/>
    <w:semiHidden/>
    <w:qFormat/>
    <w:uiPriority w:val="9"/>
    <w:rPr>
      <w:rFonts w:asciiTheme="majorHAnsi" w:hAnsiTheme="majorHAnsi" w:eastAsiaTheme="majorEastAsia" w:cstheme="majorBidi"/>
      <w:b/>
      <w:bCs/>
      <w:sz w:val="32"/>
      <w:szCs w:val="32"/>
    </w:rPr>
  </w:style>
  <w:style w:type="character" w:customStyle="1" w:styleId="43">
    <w:name w:val="正文文本 Char"/>
    <w:link w:val="8"/>
    <w:qFormat/>
    <w:uiPriority w:val="0"/>
    <w:rPr>
      <w:rFonts w:ascii="楷体_GB2312" w:hAnsi="Arial" w:eastAsia="楷体_GB2312"/>
      <w:kern w:val="2"/>
      <w:sz w:val="28"/>
      <w:szCs w:val="28"/>
    </w:rPr>
  </w:style>
  <w:style w:type="character" w:customStyle="1" w:styleId="44">
    <w:name w:val="列出段落 Char"/>
    <w:link w:val="45"/>
    <w:qFormat/>
    <w:locked/>
    <w:uiPriority w:val="34"/>
    <w:rPr>
      <w:rFonts w:ascii="Calibri" w:hAnsi="Calibri"/>
      <w:sz w:val="24"/>
      <w:szCs w:val="24"/>
      <w:lang w:eastAsia="en-US" w:bidi="en-US"/>
    </w:rPr>
  </w:style>
  <w:style w:type="paragraph" w:customStyle="1" w:styleId="45">
    <w:name w:val="列出段落11"/>
    <w:basedOn w:val="1"/>
    <w:link w:val="44"/>
    <w:qFormat/>
    <w:uiPriority w:val="34"/>
    <w:pPr>
      <w:adjustRightInd/>
      <w:snapToGrid/>
      <w:spacing w:after="0"/>
      <w:ind w:left="720"/>
      <w:contextualSpacing/>
    </w:pPr>
    <w:rPr>
      <w:rFonts w:ascii="Calibri" w:hAnsi="Calibri"/>
      <w:sz w:val="24"/>
      <w:szCs w:val="24"/>
      <w:lang w:eastAsia="en-US" w:bidi="en-US"/>
    </w:rPr>
  </w:style>
  <w:style w:type="paragraph" w:customStyle="1" w:styleId="46">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7">
    <w:name w:val="正文文本 Char1"/>
    <w:basedOn w:val="22"/>
    <w:semiHidden/>
    <w:qFormat/>
    <w:uiPriority w:val="99"/>
    <w:rPr>
      <w:rFonts w:ascii="Tahoma" w:hAnsi="Tahoma"/>
    </w:rPr>
  </w:style>
  <w:style w:type="character" w:customStyle="1" w:styleId="48">
    <w:name w:val="批注框文本 Char"/>
    <w:basedOn w:val="22"/>
    <w:link w:val="13"/>
    <w:semiHidden/>
    <w:qFormat/>
    <w:uiPriority w:val="99"/>
    <w:rPr>
      <w:rFonts w:ascii="Tahoma" w:hAnsi="Tahoma"/>
      <w:sz w:val="18"/>
      <w:szCs w:val="18"/>
    </w:rPr>
  </w:style>
  <w:style w:type="character" w:customStyle="1" w:styleId="49">
    <w:name w:val="批注文字 Char"/>
    <w:basedOn w:val="22"/>
    <w:link w:val="7"/>
    <w:semiHidden/>
    <w:qFormat/>
    <w:uiPriority w:val="99"/>
    <w:rPr>
      <w:rFonts w:ascii="Tahoma" w:hAnsi="Tahoma"/>
    </w:rPr>
  </w:style>
  <w:style w:type="character" w:customStyle="1" w:styleId="50">
    <w:name w:val="批注主题 Char"/>
    <w:basedOn w:val="49"/>
    <w:link w:val="19"/>
    <w:semiHidden/>
    <w:qFormat/>
    <w:uiPriority w:val="99"/>
    <w:rPr>
      <w:rFonts w:ascii="Tahoma" w:hAnsi="Tahoma"/>
      <w:b/>
      <w:bCs/>
    </w:rPr>
  </w:style>
  <w:style w:type="paragraph" w:customStyle="1" w:styleId="51">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character" w:customStyle="1" w:styleId="52">
    <w:name w:val="正文文本缩进 Char"/>
    <w:basedOn w:val="22"/>
    <w:link w:val="9"/>
    <w:semiHidden/>
    <w:qFormat/>
    <w:uiPriority w:val="99"/>
    <w:rPr>
      <w:rFonts w:ascii="Tahoma" w:hAnsi="Tahoma" w:eastAsia="微软雅黑" w:cstheme="minorBidi"/>
      <w:sz w:val="22"/>
      <w:szCs w:val="22"/>
    </w:rPr>
  </w:style>
  <w:style w:type="character" w:customStyle="1" w:styleId="53">
    <w:name w:val="正文首行缩进 2 Char"/>
    <w:basedOn w:val="52"/>
    <w:link w:val="20"/>
    <w:semiHidden/>
    <w:qFormat/>
    <w:uiPriority w:val="99"/>
    <w:rPr>
      <w:rFonts w:ascii="Tahoma" w:hAnsi="Tahoma" w:eastAsia="微软雅黑" w:cstheme="minorBidi"/>
      <w:sz w:val="22"/>
      <w:szCs w:val="22"/>
    </w:rPr>
  </w:style>
  <w:style w:type="paragraph" w:customStyle="1" w:styleId="54">
    <w:name w:val="Body text|1"/>
    <w:basedOn w:val="1"/>
    <w:qFormat/>
    <w:uiPriority w:val="0"/>
    <w:pPr>
      <w:widowControl w:val="0"/>
      <w:spacing w:after="270" w:line="590" w:lineRule="exact"/>
      <w:ind w:left="190" w:firstLine="650"/>
    </w:pPr>
    <w:rPr>
      <w:rFonts w:ascii="宋体" w:hAnsi="宋体" w:eastAsia="宋体" w:cs="宋体"/>
      <w:lang w:val="zh-TW" w:eastAsia="zh-TW" w:bidi="zh-TW"/>
    </w:rPr>
  </w:style>
  <w:style w:type="character" w:customStyle="1" w:styleId="55">
    <w:name w:val="批注文字 Char1"/>
    <w:qFormat/>
    <w:locked/>
    <w:uiPriority w:val="99"/>
    <w:rPr>
      <w:rFonts w:ascii="Times New Roman" w:hAnsi="Times New Roman" w:eastAsia="宋体" w:cs="Times New Roman"/>
      <w:kern w:val="2"/>
      <w:sz w:val="24"/>
      <w:szCs w:val="24"/>
    </w:rPr>
  </w:style>
  <w:style w:type="paragraph" w:customStyle="1" w:styleId="56">
    <w:name w:val="！正文"/>
    <w:basedOn w:val="1"/>
    <w:qFormat/>
    <w:uiPriority w:val="0"/>
    <w:pPr>
      <w:widowControl w:val="0"/>
      <w:adjustRightInd/>
      <w:snapToGrid/>
      <w:spacing w:after="0" w:line="480" w:lineRule="exact"/>
      <w:ind w:firstLine="200" w:firstLineChars="200"/>
      <w:jc w:val="both"/>
    </w:pPr>
    <w:rPr>
      <w:rFonts w:ascii="宋体" w:hAnsi="宋体" w:cs="Times New Roman"/>
      <w:kern w:val="2"/>
      <w:sz w:val="21"/>
      <w:lang w:val="zh-CN"/>
    </w:rPr>
  </w:style>
  <w:style w:type="paragraph" w:customStyle="1" w:styleId="57">
    <w:name w:val="二级目录"/>
    <w:next w:val="1"/>
    <w:qFormat/>
    <w:uiPriority w:val="99"/>
    <w:pPr>
      <w:numPr>
        <w:ilvl w:val="0"/>
        <w:numId w:val="2"/>
      </w:numPr>
      <w:spacing w:after="160" w:line="259" w:lineRule="auto"/>
      <w:outlineLvl w:val="1"/>
    </w:pPr>
    <w:rPr>
      <w:rFonts w:ascii="Calibri" w:hAnsi="Calibri" w:eastAsia="宋体"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4975CC-3B81-429B-9207-1D64D7EB9CF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3131</Words>
  <Characters>17852</Characters>
  <Lines>148</Lines>
  <Paragraphs>41</Paragraphs>
  <TotalTime>151</TotalTime>
  <ScaleCrop>false</ScaleCrop>
  <LinksUpToDate>false</LinksUpToDate>
  <CharactersWithSpaces>20942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2023-09-27T07:37:00Z</dcterms:created>
  <dc:creator>chenle</dc:creator>
  <cp:lastModifiedBy>admin</cp:lastModifiedBy>
  <dcterms:modified xsi:type="dcterms:W3CDTF">2023-11-20T08:43:44Z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A4E38564986E4810BCB8A0B5F91A3205_12</vt:lpwstr>
  </property>
</Properties>
</file>