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74913">
      <w:pPr>
        <w:pStyle w:val="36"/>
        <w:ind w:firstLine="0"/>
        <w:jc w:val="center"/>
        <w:rPr>
          <w:rFonts w:eastAsia="黑体"/>
          <w:b/>
          <w:bCs/>
          <w:color w:val="auto"/>
          <w:sz w:val="84"/>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-55880</wp:posOffset>
                </wp:positionH>
                <wp:positionV relativeFrom="paragraph">
                  <wp:posOffset>40005</wp:posOffset>
                </wp:positionV>
                <wp:extent cx="3096895" cy="813435"/>
                <wp:effectExtent l="0" t="0" r="0" b="5715"/>
                <wp:wrapNone/>
                <wp:docPr id="1027" name="组合 17"/>
                <wp:cNvGraphicFramePr/>
                <a:graphic xmlns:a="http://schemas.openxmlformats.org/drawingml/2006/main">
                  <a:graphicData uri="http://schemas.microsoft.com/office/word/2010/wordprocessingGroup">
                    <wpg:wgp>
                      <wpg:cNvGrpSpPr/>
                      <wpg:grpSpPr>
                        <a:xfrm>
                          <a:off x="0" y="0"/>
                          <a:ext cx="3096895" cy="813435"/>
                          <a:chOff x="3059832" y="1050241"/>
                          <a:chExt cx="3384376" cy="810002"/>
                        </a:xfrm>
                        <a:effectLst/>
                      </wpg:grpSpPr>
                      <pic:pic xmlns:pic="http://schemas.openxmlformats.org/drawingml/2006/picture">
                        <pic:nvPicPr>
                          <pic:cNvPr id="1037" name="图片 18"/>
                          <pic:cNvPicPr>
                            <a:picLocks noChangeAspect="1"/>
                          </pic:cNvPicPr>
                        </pic:nvPicPr>
                        <pic:blipFill>
                          <a:blip r:embed="rId9"/>
                          <a:stretch>
                            <a:fillRect/>
                          </a:stretch>
                        </pic:blipFill>
                        <pic:spPr>
                          <a:xfrm>
                            <a:off x="3059832" y="1050241"/>
                            <a:ext cx="673610" cy="810002"/>
                          </a:xfrm>
                          <a:prstGeom prst="rect">
                            <a:avLst/>
                          </a:prstGeom>
                          <a:noFill/>
                          <a:ln w="9525">
                            <a:noFill/>
                          </a:ln>
                          <a:effectLst/>
                        </pic:spPr>
                      </pic:pic>
                      <pic:pic xmlns:pic="http://schemas.openxmlformats.org/drawingml/2006/picture">
                        <pic:nvPicPr>
                          <pic:cNvPr id="1038" name="图片 19"/>
                          <pic:cNvPicPr>
                            <a:picLocks noChangeAspect="1"/>
                          </pic:cNvPicPr>
                        </pic:nvPicPr>
                        <pic:blipFill>
                          <a:blip r:embed="rId10"/>
                          <a:stretch>
                            <a:fillRect/>
                          </a:stretch>
                        </pic:blipFill>
                        <pic:spPr>
                          <a:xfrm>
                            <a:off x="3730872" y="1050241"/>
                            <a:ext cx="2713336" cy="538792"/>
                          </a:xfrm>
                          <a:prstGeom prst="rect">
                            <a:avLst/>
                          </a:prstGeom>
                          <a:noFill/>
                          <a:ln w="9525">
                            <a:noFill/>
                          </a:ln>
                          <a:effectLst/>
                        </pic:spPr>
                      </pic:pic>
                      <pic:pic xmlns:pic="http://schemas.openxmlformats.org/drawingml/2006/picture">
                        <pic:nvPicPr>
                          <pic:cNvPr id="1039" name="图片 20"/>
                          <pic:cNvPicPr>
                            <a:picLocks noChangeAspect="1"/>
                          </pic:cNvPicPr>
                        </pic:nvPicPr>
                        <pic:blipFill>
                          <a:blip r:embed="rId11"/>
                          <a:stretch>
                            <a:fillRect/>
                          </a:stretch>
                        </pic:blipFill>
                        <pic:spPr>
                          <a:xfrm>
                            <a:off x="3733442" y="1438169"/>
                            <a:ext cx="2710766" cy="422074"/>
                          </a:xfrm>
                          <a:prstGeom prst="rect">
                            <a:avLst/>
                          </a:prstGeom>
                          <a:noFill/>
                          <a:ln w="9525">
                            <a:noFill/>
                          </a:ln>
                          <a:effectLst/>
                        </pic:spPr>
                      </pic:pic>
                    </wpg:wgp>
                  </a:graphicData>
                </a:graphic>
              </wp:anchor>
            </w:drawing>
          </mc:Choice>
          <mc:Fallback>
            <w:pict>
              <v:group id="组合 17" o:spid="_x0000_s1026" o:spt="203" style="position:absolute;left:0pt;margin-left:-4.4pt;margin-top:3.15pt;height:64.05pt;width:243.85pt;z-index:251659264;mso-width-relative:page;mso-height-relative:page;" coordorigin="3059832,1050241" coordsize="3384376,810002" o:gfxdata="UEsDBAoAAAAAAIdO4kAAAAAAAAAAAAAAAAAEAAAAZHJzL1BLAwQUAAAACACHTuJA8ku3ldkAAAAI&#10;AQAADwAAAGRycy9kb3ducmV2LnhtbE2PQUvDQBSE74L/YXmCt3YTE2sasylS1FMRbAXp7TX7moRm&#10;d0N2m7T/3udJj8MMM98Uq4vpxEiDb51VEM8jEGQrp1tbK/javc0yED6g1dg5Swqu5GFV3t4UmGs3&#10;2U8at6EWXGJ9jgqaEPpcSl81ZNDPXU+WvaMbDAaWQy31gBOXm04+RNFCGmwtLzTY07qh6rQ9GwXv&#10;E04vSfw6bk7H9XW/e/z43sSk1P1dHD2DCHQJf2H4xWd0KJnp4M5We9EpmGVMHhQsEhBsp0/ZEsSB&#10;c0magiwL+f9A+QNQSwMEFAAAAAgAh07iQPF+DX/fAgAAFAoAAA4AAABkcnMvZTJvRG9jLnhtbN1W&#10;y27UMBTdI/EPVvY0TpyZZKLOIERphVTBiMcHuB7nIRLbsj2P7pGAHXs+BYm/qfobXDuZTDstokIV&#10;qCwm48f19bnnHl/78OmmbdCKa1NLMQ2iAxwgLphc1KKcBu/fHT/JAmQsFQvaSMGnwTk3wdPZ40eH&#10;a5XzWFayWXCNwIkw+VpNg8palYehYRVvqTmQiguYLKRuqYWuLsOFpmvw3jZhjPE4XEu9UFoybgyM&#10;HnWTQe9R38WhLIqa8SPJli0XtvOqeUMthGSqWplg5tEWBWf2dVEYblEzDSBS67+wCbTP3DecHdK8&#10;1FRVNesh0LtA2IuppbWATQdXR9RStNT1DVdtzbQ0srAHTLZhF4hnBKKI8B43J1oulY+lzNelGkiH&#10;RO2x/sdu2avVXKN6AUrAcRogQVvI+eX3jxdfP6ModfysVZmD2YlWb9Vc9wNl13Mhbwrdun8IBm08&#10;s+cDs3xjEYNBgifjbDIKEIO5LCIJGXXUswry45YRPJpkJA4QGER4hOMk2lq82DohWULS8dYJxjh2&#10;JuEOAvcZPzXWDTvcA0xVsxx+PYXQukHh74ULq+xSc0iI8yZW85rNdde5SiMZaLz49uPyyycUZQ6m&#10;W+PMukXUoTmV7INBQj6vqCj5M6NArhC9D+q6eei613Y8a2p1XDeNY9617/f8IJ3z9oyDLPTLRZ8I&#10;YzW3rHIbFrDxGwDbsT9MeJQ7YA6zAcncIpJfZnsrmHFKxhEc0k4vt6RaaWNPuGyRawBMQAOJoTld&#10;9ekHhnsTNyykIwvw0rwRaD0NJqN45BcMM6CjRjiDayraBeGjg26XSmj8FTFBNe7O5FZMk4ctJn9k&#10;aT5o5j7ElBKcpbeUjq2Y4jQihPSFY0SydLJfOLZS+d/VNNlTU+xvQKfxh1maiDsM964mkiS9mhKS&#10;RWN/4qAs9NcQqAmn415NSRzjNPEVe3cN/Us1+WsPHgv+XuwfNu41crXvL8fdY272E1BLAwQKAAAA&#10;AACHTuJAAAAAAAAAAAAAAAAACgAAAGRycy9tZWRpYS9QSwMEFAAAAAgAh07iQLBCigfjCwAA3gsA&#10;ABQAAABkcnMvbWVkaWEvaW1hZ2UzLnBuZwHeCyH0iVBORw0KGgoAAAANSUhEUgAAAZIAAABHCAYA&#10;AAAtBsHSAAAAAXNSR0ICQMB9xQAAAAlwSFlzAAAXEgAAFxIBZ5/SUgAAABl0RVh0U29mdHdhcmUA&#10;TWljcm9zb2Z0IE9mZmljZX/tNXEAAAteSURBVHja7Z0rdCJLEIaRKyNX5qyKXBmJjIxEclbcE7kS&#10;yapIJBKJRCKRSGQkEolEcgnTkOqmHzVPBvKJ75x7s/PoR3X/1dU1Teffv38dAACAotAIAACAkAAA&#10;AEICAAAICQAAICQAAAAICQAAICQAAICQAAAAQgIAAICQAAAAQgIAAAgJAAAgJAAAAAgJAAAgJAAA&#10;gJAAAABCAgAAgJAAAABCAqA39l//PXQe+93Orz/PN1TmH8cyH8v93wP9CAjJPTVcZGAf/v7zMFk9&#10;0U6t67Phgf2RX38eb6HfjIjsDf07E/ZvO07ure51D4LegYVhrPGoDtdNzPXDFnuIOzOwV57yv4qB&#10;38o6KPvuVfTd/MBLwee8iOcsrrkaiAlJW/utCiE53Dc17f+e4555nePwXsYJdW9GSDaiwT6ZKe45&#10;Xbtop5D8eRJl3EUnK0V9W2zsbt/tPr2oEm11Yt5SIWllv1UkJLnHVN3j8F7GSZ11N1GPnzdRp5ob&#10;bO/h9ZaFRHhr6wMjz+T5/LlSOfDxuSK7YWM/9YMUlFHOZ4zOItSCfo0KSUv77W6F5E7GSV11P0Zw&#10;As7qdxYSORmtbl1IvonXdO6HA0vz39vP0J5usBxDgNuT19V2IWlxP9ylkECy/SenPkBI7MloplmV&#10;YMCtFJK++P+e8n55zwtCgpAAQlJ+Mvr157dclYQ8W60Bf04EZoL6nBwGJq3zSTUwnQ3fYwZFlhjw&#10;ptkMNnUJxi9FuuaPusog7nsw7/t7bgeXAnFWu++sBIOF8v6V6PvHPBOTSHkdHNvk0N45Qwe/jZC9&#10;SZtIZm0l+i1ifz2V7RWw2bYKSSXjKNDeedKdv8Zi2DEoYk9u/UzdBqbvupF39L9sIjzugnXPwl5d&#10;Ez4/9YE1ni+uVYzv1Jx1M0Ji/l+uSv4WNOCeiS3uA4wTE/x5IjGT8MLzjE1sIMQm1dTAr6wM2X2j&#10;SDvsteFEZd9NRLmfFEZ7XsFohcTUaRqowza5v5a9d+u598Ns/Mc221UTtnnOMlDGhW+SqsxmWyIk&#10;VdhwqF5mwj79fZnob5nMMa7Kni7ql4n/zrpfikz27+vAe6YF6x6ja+qmbafHWDvdnpBkFdp9Gdml&#10;55cw4Dcri0imldoTyFxhvK9O53uylPyei3qQpYSkXBnkwF0aUVkEDG9WQd89azfdhegc+1gjJGZS&#10;+HDqNPb0bcgBuRzsdnturfYpICSed5xscGe9R3jSFdts+4SkoA3H6mUJdWylYWc/vVRlT07ZfHa1&#10;P60MnHGxNc7yOFaHiJA8BN61d0Tst3nOXOPcmZWUt51uUkjM30aJTowZ8MB01tD14IyaL2MN5nSg&#10;8AazTjDL02lqAq5QSAqVwTGMv54BtCnrfQT67iPmBHgGw8jjES0SobCtGzowfbsSE9OjJ6wgJ7D3&#10;02RuVikzz2DMJSSed/Q992f2J2yzYptto5AUteGYkEjxHUTKeLbHSu3JLttJdKbZR4RH++6f7F84&#10;J2s3FGfsfhwI3aWcluQeiVnpJr9HEXXdaJNl2i8kWSfuhPf2U23An50YaQjHOxgqBsAwNWE0ICS5&#10;yyCM9yPpgRSMiQaEZJBKmDB7NdZknRISZ0C8RlYsO1+4wNnYH6UGZiEhkfWKT269Gm22rUJSxIbD&#10;QmLPEStFWGtUsT259ZsowtyjHG1bjZDYe5frvO1000Ji/v4eMYJS2SKxznc6cKQIzYQ2ZasSkkJl&#10;EF7SJBKCuYjlVuwEzBNe4jwQo/W12TI2GMR1c5+AxkJWznWzEkIiPNhqvbocNttGISlqw6n2joZt&#10;nP2u54rtqWvvr0Ucga+xuGxaSDxt/JynnW5fSGxvZeeEApoSkr4q9urvnKqEpFAZRNtNA/f261iR&#10;KCbjF58nqBCSjWYvJzS4xP3LxP3DEhPbtlPTl/k3LiRFbTjV3r3ESu0jtCqvwJ5k2d4Sz5Bh06kq&#10;g6paIYmKeqydbl5IPKGCcV6jF2mUM2cDs1oh8aX6NS0kboz3y3i3PsMV7bCtYTUpzwl6D5TLisXG&#10;hMTJPtFzDpsdnRLV8StFhcTJppmUaNPabLb1QnJpw5o9qZ13xWBnBQ6rtKe8bW5sw83Ymnbi38pV&#10;JiTm2rVvr8gJaw3vU0jczcuvTARN+u9aYRz3KyT2QPowk/spz3yuieVXtJrcBCbbd6e8ESGx/k3L&#10;R+D+ST1CEt/HULRl7TabeP8uj1eaEucmhCQWtrFC45dH3ZSypyJtbsRr7Mm4WgUiGlULiTd7LdZO&#10;dyMkHu925hj9IhqyyQbm6aOu37WFttq5IukqBse0xtXkyA1hdeLnWGlXJLm9fUfAZjUJyVPRMjZl&#10;s4kynPd3dG0a36BtUEhefM6JEOVlYFIvtXos2ubio0WZ3bcrmGquF5KAMyXaqfbTCa4qJI6R740B&#10;ryMT2PordOJX2G8iJJtzmmt23Sk3fmEMsFvvatKaaGbOKmWWMPRFZP+h6L7YroE9kkJ7d03ZbKIM&#10;0zx7Zo6D93YtIXFsfe1ZHb4F7ilrT6Xa3IyHSahfqxYSc/1SJoNo2unehEQa7SgkJM5kNFK88y6F&#10;xApr1bhcVawm5fcPb7F0S4WQlMpz78gPz+LHUpTJ2lqLgfqg9Owbs9lE+7yHwo6KdnquYxzleMZI&#10;lkXUZRc5DaCsPVXyY2JCBFclw3qPinfJMdhz2umhznm+FUJirlt0vr783QWE5Em5f3LvQvJsZ4nk&#10;O4eqQiF584TTNooJNZV48bdAWQepPQxnMi0iJKPU3pMJq8iPIRuz2YSg/Rbjapf4ClqWZ1lmoq1E&#10;SGx7HwtBn0feW9aeqhISb1mVQjLsPKYPuXVs75yaL97dyG+9tENI7M1jTQjEZ5iDb7PZHj7rSR4F&#10;Mi4jMskJ0M6qiU/iKSG5/Gp8EBngn55azxOblmX5+vI4e/e0U/7LdvcdAyszTR4VYmcANWKziv4c&#10;duyjWgbWPo3t7aeO52lMSJwVp2z/XiK0VNye9PU7JVH0Eo7WsICQyL21hfi49ylyGKzvXLHXbyMk&#10;gUZIea6nzUt51tFGTLJ3nLV1ManFGNXVd52Lr8UDoQbdESndzuWBi0uRIruLTQyBFdLayW7rFxWS&#10;gP35hdw+a6sRm1XG7edKm9nG4upXEJJh5+L8rnjIqow95RSSvejH07M/OpEPGlW2dimG+9icZJ77&#10;4rHFH/cgJOqjx83SbJXKOjJGtfU07sw8Y1KBkAxaICQDf2jraGArMSm9dOxjpl9NGGaj8d7K9J1T&#10;l1mkb3+qhCm7bpKY4CaR2Hg/YBuT7KgSESYpevpvdl1ogM8C3/XUbrM5+tU9ZFFVh6rHUS4hsQ97&#10;VWdjFbUnfdjtOBbHEaduErCHcrYWD03K68dNiEj9QpLFiLvaTWFxpn9XITpd44W+2B+/HY2n8G+F&#10;aMqh9K7jv0dSsAzW4Iwfdf9aZlWi+Z0H+7qEh5jz9xDMpN8zk3A3T5jO2F0/4AR0E0eb5/09koGm&#10;XnXbbIEVilOefMdnVDSO8rT3k2ZuqMqe8pXtXM83Q3rcKJ9/to1sZdtTPPc9tXK5OSG5V8rmqZd8&#10;90qV6mp/VDam3wDufF6yw2HrRt9NBxTybNSplDUKyTZxmFy/yTxyALi6g/t6rbmJDsgXBnB/6e71&#10;CsYil66rbLl7ylA6l3Mk4rarpjbcAOCqQjLT7KMgJNfroL4mPbnB5as2+2ZV9xk7ANAKZ1f9E8UI&#10;yfWERKYSro4e/5W9fLPRO3VSGU/fkMyusVoCgKs7u7siWZoICQAAXFfIaAQAAEBIAAAAIQEAAIQE&#10;AAAQEgAAAIQEAAAQEgAAQEgAAAAhAQAAQEgAAAAhAQAAhAQAABASAAAAhAQAABASAABASAAAACEB&#10;AABASAAAACEBAACEBAAAEBIAAEBIAAAACvA/U6G4/XWC6XsAAAAASUVORK5CYIJQSwMEFAAAAAgA&#10;h07iQJNsZ8qaPQAAlT0AABQAAABkcnMvbWVkaWEvaW1hZ2UxLnBuZwGVPWrCiVBORw0KGgoAAAAN&#10;SUhEUgAAAFYAAABoCAYAAABrJgcqAAAAAXNSR0IArs4c6QAAAARnQU1BAACxjwv8YQUAAAAgY0hS&#10;TQAAeiYAAICEAAD6AAAAgOgAAHUwAADqYAAAOpgAABdwnLpRPAAAAAlwSFlzAAAh1QAAIdUBBJy0&#10;nQAAPP5JREFUeF7tfQdYVOmW7dw3b9673W3H2+n27aBt6GDOqc05IlHFBGIObQIzQaKiAio552Ro&#10;tRUjoRBQEBATomIWEyIiwdzrrf2fQu2Ze2d6pqvn3Ttf63e+KqpOnTq1zv7XXnvv/9/nn/7p93+/&#10;I/A7Ar8j8DsCvyPwOwK/I/CLEQDwh3Pnzv3fX/yB33f8ZQhcSr/0x6Jpy7YdHjJh9IUlq9/+ZZ/6&#10;n7nXie/dPsoZMHa6roeJza/+hcjP/5fsLiOPpzdojoyPOp/PbNTTJbX54ManzM3/z68++D/AAU7N&#10;mtUg12jKoMwWg6J0H3e6lf5ac6T+pfuaX33qpIJ/zmo5KCvjrbbIfLM15DG9QevHuvfaFWY06u2d&#10;28fK8nxIUhOhjF/9ZX8nByjZGNwou4+FdUbjnpHpH3e5mv5WG2Tof3tGg5Y48JkhgHV0/F+ZX/VO&#10;lYNnNmiH9DdaIfWt1tDx7/Q3+YV/bI30dzv8lPlV/wvZzQZGHultMf3wmFmd84OC/iFo42pS0mvZ&#10;wya3yOpsPjWz2ZDYzKZ9r6a/3fan9NdaIvMN/j7+Tl0D/mYCqhNw5fd/0tUgFvsHXrl9CtjPu+Ba&#10;ohNOjLNAFp+n8Qt1DeTL2yLtrXa8qnxswC9v0OpJ2gft7uka9ShMb9InMrPdsOV5Pcaa5vUY3a1o&#10;8qIWVwNjW97blfrF/UMn3r1ZVPQGLl36o1h8WVnZ63z8l5+Kbr5xec+eP1/w9Gt1fJmbWZHl/NU5&#10;vc0O6xp2O3Wo9ZDoo8ZTFxROXzzg7Gq/b26np398+9SpBv96xIAGUZaf//rdlJS3bvv6NigeN//P&#10;6a2HtsnuZDQqo+Wg5bqmfWLSG/Y4lfpe24q0N5o/TCdwGWIoymjaK6OR1zIbdsWxiRa4GecG3Xv8&#10;fW+2QNon3Tx+9eCSE05r2C1FgD3UsBseXonGkwfJqL0QgWtR9jg2xpyvdyaYcjUJPq+quggEWV1h&#10;gp/2Ok/6tRbqpDPea/v40F++e5LZuHelrlmfssyWgy5ndzG6mN1++NnD3YwvZ7cdUprRrPeVjIY9&#10;7ug+7vI4410e7/VW/JHaBZTvSXudx3qX1PRR1zpdw553OKKuZLUZdDan3fCSQ9xy2vLxqz7n0hv3&#10;uKz7uOs1XvAraW+2LE99q8VT4Uj5fPqbNAqCpxOKk9Enx36d5/dmS2Q17oYTE0bjWrwTai5G4OmD&#10;JFSfDUfaux15Hi1osYagAgKb0aTXLrmaWQrYKDytTMTT+wna44PNqL4Shlu7PFCyZCYO9xiMjE86&#10;qBNWFkCAM9+kNb/FoSRcRcvWHvkj3tb/oBcXQi4I33tbTzWK17UfL5/PIBjp6jN8X72uXUh5X6cu&#10;pLa/ZnlyHHlN+/zLjRdK3m/AY74hx+V7f+6MozzvkuVTcWuvJx5ei1ZgPqtM4m+U35mAmpIwUl57&#10;6N5oaRgqEJNPb9p7h5zwz4GNV+A+4SYn8Owen1cn41nVZtRcisSdVE9c9LHFiakTcLTbQOg+7ayB&#10;8ppYIEHiD9MR8HqAlIMgEGoI6oESjtPRitJosVlNv8NxU3PomnSnZXEUcATo3hD64cbPKacqnxdO&#10;VEAKeO0UNcn3pZEz1aj7rCuOdh+EkzMm4fImO5RnrEMNDeNp9RY8o5E8q4znb5HfFq9+228KrK4Z&#10;geUJHmokFhv5c4sVqyWo927G4355IoFNwAM+PlUnyBOrJujcnpTHo/ZcGMoPrMX1yJU47zYHZxbY&#10;4LTNOBw3N8FxIxPkDRyKIhMTnBhjgTMzJ+Kcwwxcj16B+/n+eHxPRscWPLobh3tH/VAW7YAzK6fh&#10;9PRJOGZhhmOjRuHo4KE4bmyMIgtjFE8Zi5IFU3DB/XuUxdijPG09akrD8LiCoIkBPBDQBDyeJ7fH&#10;BPEhv+OxApT7yO/SW+urFpshFvuXrq6/mmM1i+21QyxLLLZOgBUrVRuBVFsCjhclYP6aSDgExKDn&#10;tEDszohD6eU41NxNxhOeoJy49kP4WCUXQPvs0yoONz5/ep/gV8bpLUVe07bHVfKj+Tn5kfUWxM89&#10;4QWU4fqE76vj8dgKCHlPjsX36o/7VPaV7+L7st8Tec7t5tVkXCxNQkhiNHzjo7AuLBoP7r7yPfXH&#10;5OeqS8LJ63RqdGjpf+5uWGAP/aULaoXM5QtfAfYpqeBeeQL6zQjC+BWRaDUuGOPsIzF9VRR0R/T7&#10;EoDMIzFIOxKHQ/nx2Lk/Bg8qklH3QEAhGHJMsUqCqUAnGNqjdgHEitRFkQspAPH5c7G2ewIiH+UY&#10;esCUtcmx7sWh8GQcKm7IceU89ODy8d7tRMx1j4LlsjCMWRqFYXND0GdKAI6f4gXR/7ZXLfY3Ara3&#10;sthDn3RGXWmE/qq/tFg5gXvlSRjEk5tGQDtZh2H00jD0nBqMG2XkXqEFgl9cEoeFXtEYx/dMbCMw&#10;d3UkFntH4uoFzdqeEGS/hEg4BcXALTwCfklRiNgeg32Z8l3aPo8qEnH4aDy274/Hgcw4nDmbgK17&#10;knAkX5yNBvrT+8l4WJWMO+XJ6DLeD8l743EwJwqFxzSHKxciYmsMrFaGw5oXv/+sYExxjMRWHvPq&#10;5c0vRoZcvBccS1UgzsugFpvZYuAOkTmH6D0floZrILzCP/J31Z0E2KwIxbbUeHxltgmL18Wgy+Rg&#10;XCOwz2g9sv8jyjTT74Mxd20sVvpGYMCMUKSkx3Co0+rux6nhazo/GKujEvG50SbYOIfCdkMk9h3i&#10;e+IoeYz7txLhFhiLJqb+BCwWK9aHwmxxFOL3Co3Eqe8qPBmLqa5hmOUWhveG+MPaJYwXKBpnziQr&#10;qnlWmYyTtMw1HPrz10TjM5MAOAZEYfO+aPoKzT8o2tBTnVh6zdkwSsUODJCobr4eZCAqaD1YAZv1&#10;N4BVykAcgPAif9ylSwk4dDge1g5hqLhJC5ALwffPFMdiIqnCOzYWrUz98P3qGBwu2KwpC1EVNYkw&#10;tgvEnDVJBCYaXxgFwNYnGlv3RpMShIMTeQHjsTIwHu8O8YNLQBymOYZhrkc01kTHooaj5okolMpY&#10;PK1NxJYD8WgzMRCDSFFH6APu3dJTBi32/LkEnD4fj5D4eFjZB6PqbjwekS7kwtRb6c+ApdxSHEtF&#10;cujbIYYBVtd64FYdgc1UVBCuWY9+mMiXP+YVzj3qgoproZrj0HPdI3EgyrI1KjhzOgFZR+Ngvyka&#10;k1byRPPiMc05GJU3NOAfVydi1MIQrAqKQ/+5wfjeMxrDvg9Hdp42zMVib15JwBi7EHSxDsCSDeEE&#10;PgK9ZoTAzjsc9zlqZJ/ysni4BkZgvF0YL3IifjwYDTMe9wdauFCFOEnZTy5CLanlkd55Xjsfg+ys&#10;IPJxPQXoHSx/a1VRAOWahPQcud8OMxCwrQZtkxhZqECArVcF9cPlEU/S1qcvLa07PEOMkHHYHreu&#10;h3KI672+3jkpzy2yhj+mllpRwK6lpT5WOpgX6EEsth+Iw9qoGKz0j8CqgHDM8oyCE5XGYzop4cdH&#10;FQm4TrCm2gfiYSVHA0EITY7ld2pBi1ygu7cSsDcjVvPwojT4Obn4AqRQwVNSwXOCWcfXL12Iwf6D&#10;QVjqsQbDbVxh77kOzzhyNIN4BdhCX6W9NWANZbFth/6oLPaDDnhwOkhZT730URZLcBYRWJtV7WGy&#10;uAlGLW6MCQ6taDUjEL1jGo4ec8OtG2F4JD+QTuUpufYZLftpFS1IAFVUoZdwAgA15nM6sqccssqb&#10;05KfCM3oJZT2GQFKrFjPv69YWT1HCjjPhSdFs/LzdTzPKxdjkJUTDL/wDZi2lGBOcoLJVDf0GeeM&#10;vtxWeq4lsJrkekkF1OaFflouxFBUILkCXfsRKSrT834HVJ0I0A8nbbhoVKBZrMWKbzHeviWMlzSF&#10;yZJmmEygjewaY5Tdl7B2akd50x0uwQL2dKRmO1DarMfly4Eov8VhXBGLaoL1kGDJVkOLrrwbg7Jr&#10;ITh+0osqYB5cGCklbw/AyeNRKLsi7zOG5351tNxafraK8qqSwcmN67HUp1FMJYdje0oAfEN94ERL&#10;HDPbDQMnuMBoijOBdFRADrV2xsipzug/3gk9xzvC09cbzwVYpXn1lsvfWFXor4XKHLm6FgawWAE2&#10;u9eYFN3rPOifXgL7KsELsEs39scoAjrFuSOMBNilTQlmW5gt/YpAN8GYld9Q27Yk4GLRTTF+ZUsY&#10;LWwII9vG9P7t+F4LTHJqg/mevSiB2mGiYxtMdekME7tmGG7bCGPtm2PojInoZuGCEZMJxIRVGD7Z&#10;BePnumPsLDeYzXCDxRwXGE9zwQACNnCiA7dV6DHGEb3HOcFoujv6THBC3/GrYDbTjaC6qOcm093Q&#10;n/v1JbADJzjDy3e9isyUn6hXPvXAStjM8Di3x1jDpA2P9BufontNgO34wmJfBVZOYvmmARi1tAms&#10;HNvCfNnXGpgrmiswxYJNuQlg8rpsYs3yKBfAihfAmBYu+8nFECqR96yc2lNKfQVTXpwd6waiOMQK&#10;P8b4YtwcD/Sb4KrAGSVAEuS+451hNNUVAyatQj8CO8zGBUOsXPjcCUOtVvFicH9aZH+Ca0wL7UPL&#10;FWDNZ7igDz/bh8+NSAnuXutJHZqjVJpYv1UdC9BbLIHtM84wwGYT2EwCq/t3gF2xaTCMCdLoFd+Q&#10;DlopYEwVgHow+d5k0oGAZ0wenrxKAORz7iPWabpUA9aK+5jxuVyISXzdjJ9b6tIVD5Z+hgd+Rnh4&#10;PAke3oEExlkBaDKN1kdgBRzz6a7ox0cB2XSaqwJR/h41zZlWzOfcbyitXYZ/PwI5cJKzsnABWC6S&#10;6QxnrNnkQy4Xa9VCdTEacYgVOT4qdSk6NreXgSw2u/+4FN0fCez7msU+/1daTySWw6YhCphRdgTN&#10;uYMG4JLGClgT9bwpJjq0oTV/pf4e79ACo5d9oy6G8PKY5XwuFEGnJxYvljyBF8hs6TdYxteq7D5C&#10;tb8Jagvj4ejhTZDE2dDxEMw+tEThy9GzPBRIYn1myhIJJl83nUnAhVPHEzwO/QFCCfy8WPjAiU68&#10;SI4YOokUY+OMdf4+TBq9pIF6YMsz10lJSuVyDQKsJGGyvjNLkiSw7t12uJe74WeZH5VIIbBrw8w0&#10;AGlt1hzCpooOGmPcihakhG8VsGP4XLhU9jNf8TUmrmxF+qCVL6+njCaw5L5jSSGjln6JcStbwGL5&#10;1xhm2xRnHb5FVcAo5CetxqTZTvjOkoBaOtEyZVhz+IuVKoslsATcdMYq9OZrQgWmM4QGhC5k6AuF&#10;iIU6K/CFf2U/Mx5HLHo9gVUqRDJzr1jsXQWsAS1WgM3oMCIgg6Sd/k4bVGRv0DJbeo2nEiR87hpk&#10;ijF0MKYc5ua0vomOBI3ACj9a0ymZkkNluAufKgoQ50Y+NuFz02XNMMmhNYyWNiaQoiyaMwJropRE&#10;QOgwnN49GBVenVEdYIySrXao2N8OxxL7w4lpQwuCI0AJuKZ0UOLdB9AajTms+/H5IFEBUzXgB3Do&#10;y3Ohiv583Zh0IWCLNZvRqvtauhBYb8Wxigr0QYlIwfLM9QSWcotUcNgQHCvAHulk4pwu5Yx32v51&#10;YGmx9ptGwJreXbhxlHAon2uOqin1bTuC3Ew5JaV1+dyI7wlwAqzsM0koQ0Dm61NXdUFQ6ABc2dML&#10;D/d9jUf7G+H++g6o8R+JM1sXo3pPY9Tu+wJ1exoiP6YvTKcuwQDhUiWbVmEIOXQ4uVTAHM7hLbwq&#10;NDDSZhUG8T2hiuF8PoSOTl4fxtdGWHME0IrXBQgV1MstLZJTwB7yIr9KgNAKhSOn/HrnpYBtN9xW&#10;1YlIBX/VYgns8o3DFFCavGpMPm3NIf4th3RjWiOdEKlhlN5RWfC5AtZZAgpeCHnuSM27pBHmeXTB&#10;+f1DUbu/GWr3fInynQ2RvO4znHRtT4s1wbaNdrBbMAmR7gNwY3tT1O79EsdieRybZRgxRXNeI6hT&#10;h1hpzs2YQ38gLVecm1CF5qgcMZqSq7dYutCDSC7yrPztG7rpbwOrp4J80xmGATbz26Fz015vTmDb&#10;4m42r6gKCyXzXh/yJTH8HMFU4dfKkwtQAqRIL3FIZstJB46tlQWPJU0IdwoVTHRoCQs6Mw3YdsxG&#10;dcHNA/0IaCO1nY1rDNtljTGYHJvn3gU1BDZizVIOYXf0IMfazJyP27tao47gxnkOpJenwyINmMjQ&#10;l+fKiTkrHhVOVVzLR8XHigacCKgrTBQHcz/LVUja7KcSPsp3vCK3bu8nx5IGZCs0nWUYYHVNB0wX&#10;YNOECrLEeb2MuuqdlwArwNlQEWgqgM9Fq+otUuSVhLsipQR8pXMJ8ng6M2Pq3ymrOqJ033DUpTRU&#10;oGYFfQarRU0YNLTEUEZvue6dCewohHssIUAi9umcKOxj/Wbi4d5GKI7/hpJqud4COawJsMgtk+ma&#10;TpVhL5YsAA6zFrqgxuUxRjI/MIjW3VsFHK6ITdr414Hd48moSw+ssYGATf2iz2RlsSwGlqd56Usg&#10;r8TSvMJO/sOV8xENO1ZPASKdLERGidinxZrTSWngt1d8Kw5tMq3aiOBHRw7FwwONcXdnY0StphMj&#10;qKYiuRzaYjgpItelmwI2xE0sVoBjpDTRGY5O9qg50AQ3tzTGsAnzlHWa6cEczDyASCiRVsZTGUjQ&#10;efURvTpdUwh9OPQtxGkpxcDXqQxCYkgFKpehOeV6I7qd4qn4NU041thAVJD+Ybfx4rykZF1+kMD+&#10;m5pXEjxDLRSwYq0SCIgO1ehAs06RUOPo7Y0IqMa5X5FTv8RMl06Y7dIO+6J6YqcP/7ZrBCuCabpE&#10;07Ky73DmGo640mIDjeDrbMegQBvGAmxC4GI6uEYoTfgSQywXKotUwPNxJKOvQQRTgK2PsESOCdcK&#10;TYiGlWPJvoPFounQQmJ9XwH2ZUL/jrJYkVttcNR0mrtBiokZ73exEIv9W8BKzcsnajzMVfQkoag+&#10;rOXQF+s0Way9rimFpgT5W4p/UgBf+96lI5zcumG0bTNMUJzcBBOob80leJDPkHtHENgcUkE1LXaj&#10;0yICJ7H+Koyf74GKA32UOti6pr1yPhJVjeDwFg+vABRKUGBqEdYQhrfDCbjwrFyAgSoc1qy8Nx/D&#10;YjWLrU8b1ldKbguwynm1QaHl94bJx2Z81J3A6i021Vsr6P0srZYMj1BzLRdAYEZz+E8QXUpgLFc2&#10;1wQ/lYKV8CyHv/CsjcoPiEW2VlxrIjzLwGLk4kYqqLDgJtwrSmMYrTyDzqs60BjejrYqYpq12AXX&#10;9gxDDfn1xrZGmDbDWov3OfQlVJVhLlbaS/EreVXxqyRdXJh0kUjNhRpYc1qSfJGIrPdYZ0QmElhx&#10;Xno/8gLYlLX6AKENjlnOX2UQi00lsOmcIJHOGSq3U71eJCjqVcFzyq3VEWYqfDWldY7ipulV6lIV&#10;iWkgWjKjJdYqDs2GWTABWy6CJblY+4xmsSrfQMBNCai1fUdmtxrioGtXnPEYjDivOTiy2Yq82pZO&#10;riEqdzbC0jnDMHKKOy1OgKPkIv9KxspYojKxTL4mckqAFTAl1B1MsEcpsF3Jv9S3pIJelo5ISPTX&#10;K4KXyW4JFm7+4K6S3EIHBZYLVhoUWJn6c0dxbP18Au3xOa/w2nAzFeNPcmqtggHJakl4KsNZ06vN&#10;VJ7AikNb0ouTVEqxmT69KBKNURkdnErAcL8J5NaRi8m55FY3394qELi9uzsdXBNU7/sc91Ma4XDQ&#10;V7CZMhr9BSSCI8PeTEkqJ6VjhzKt2I+WK5JLQB3MbJc4M6EMc7FcFQprOlZUhoTCu370V9WFn03Y&#10;YHh7Y4srQeWsGm4FlgsNY7FCBcp5MdFbziHxqr6rnyQhuQKxwMkCIkHSEt1tVAAwlrpVKEGUgKQL&#10;BcQxKnTVUopaqrCJ0reSVxC1MMu9G2KjB6Js/3eo2f81tWojVO5uiJLYpohz74oZUy0ZcS3XeJPy&#10;SSSUyrUKiARupKgAOre+IrloufKesaQVVe5Vn6QhkJLTHclNXhNu3ryVOlYqDi8mePC5ALvVlYpA&#10;s9j80fNtDWKxL4Fty0hozb8pf0uZZX3kWIL0JQET78+0IYFSOQIViRFkcVy0RslwiQST0FflYWnJ&#10;omuFMixIAWMJtqiCM9S0D/d9SQ79Ere2NMSxoJYoDjaB05I5HOIeyjkpjcpHsUIZ2qJLtdforBQN&#10;MBc7maDT20uixYL6VxzVMIavw3kh5LOSlOkvyRr5LEPimM3+TBu+BFYZzqvAsjSTM2z6RMMA27g/&#10;LZaqgF7xrwObiMCEKVQFjKIIlGa14sTo/YU/lY6V3OpXjLRIF+RPkVKSXhSKGE8VIPtKNCYXZVv8&#10;EILKIb+3CbICG2Li/M9xcPV3qGMSxmnxAg57qVFplQABR5yZDGsBdySfC9daTOeQl6wVwZJEeH/S&#10;xCglrfg5xblSZSCYVBiSdhw5RUuYJ9BiXwJbPy2JHLvFRWnYdE5LzR9mNcggwKa2GKRRwQtgfz6h&#10;QXh2A+WWZPyFPy1XML/KoS9OaiojKuW4qAwsOdTFoWkBAsGmsxJOFQcmzkrlD1Z1wLndfVBDx3Q1&#10;+QtMWSI83Qz73XtQx47CikWLCB4jL6YMpRwjfCkeXbJVUrIR3dqf4awksAXY0QIw9zFmHkFVFyTk&#10;ZYAg1mwq1YeJ3I+Ajuaxeo11RNI2Oi81F0yrCtdTwk1yrEy0VvMrOpp1NQyw3wyyyPiZxUpJ+ZVJ&#10;cTyR4CQrZYlapPUVQ1QtwTJOQCaoEs6KJSuJRb1qyryCVrrRwBaeHSkXwqkjLuymtNrzOc4mNsSE&#10;5S247zdIYSGyOmAkbOd9z2KgDGlN6PeypFWq5IpIJq0UI2UYCWHFIgVgibbMJdmteNSFpRpRDuLo&#10;xKodVWAg5ZseY52wY1fgy/li9TN+aDjXIhw4fVSbV5v29bD2hgFWWSypQJyX4th/DWwSghImKmu1&#10;5vA2IogT7alPCZzwqg21qFICei4dqxLewsOkDfKwWOpkWrsKDuzbIyW6ncpa1aY0RkoonZyDHlha&#10;rN38efr6lVisJLtdVXJFrFIyVr3EOiV9SCsUCx5MLpUhrqI1sW5RDQR1JLl3CJ1VPwIroPeh7JI8&#10;7oH9AuzLCRvaxA4CG7SCc3sF2NbP93/as6VBgU1nXf1mkuvL6ZQvkjHJCKHFjpQggCDWl1zq9asE&#10;Aya04rHLmqvSiyktU6t5SX5Wy9UKB4sDm+DQDpNZ0T0S2wQ1KQSXauDqrua44P+dqiDYfr9Ak1EE&#10;REVgkgfQOyqJnnoKr9ISFZfydaEIibQG0yIH0oolZyAXwWKmlv0S8IdZS/WW9MELsm2HRgX1ykcD&#10;lpNEBFiZAtCg9U8Zn/YzHLBCBXLg67FO+umULyuYUpqJ3z4LFqJL9TQg+lWGvDmHsSnpQUsnanMN&#10;VCLcRWhBFIGEv5JKbKkCAynfjOHz8cu+hb/3VziX2Ah1+xgIBHXCfX8j7PUzg/3KmcqLG9HiJF8w&#10;SqQV/5ZEd1+m/rRQVrNOBaI88kKMkhoX+XcwNa6RVGrJs+YzNVoZRoCHkDq27QzQ5tvq5VY9sNeC&#10;l7P0LWsqWj/b92mvFgax2Jwupgxpv1UCuYzAvpgA/IrFBiVNVhwqkZeAKLUqC4IqIakM+SlSYOSj&#10;yC2ph41XDk50K62YQFoIuJRa5vzcRHsmblZQ//JvCyoF9zVf45R3F1T5jcDpyP6qguDjMlal+YZK&#10;ICByi+J/2BQObzqjEfTw/ZlgMZomRUMtGtNUhOhVR8XFA6lvh5ImpMIg/Dya4e93dIjCsWrC8iul&#10;GXFgAqyaW/FWm2fZXw8zDLC5/cdpSRgS97VYR/3UHv0MajkBThsKSbJWwAh/GkudS5W9NQsVKxbw&#10;BERzWqLkEcyZvZoo0RfnDUhZRvZV+Vs7JsBJE76OJtixyRZz5rVB3OoZOOJggspNI5EZMIgW3BgF&#10;oc1VCUYcmeRWJdcqOQKxSi1TRfCsJADgUCd1yByDUVPcVLirEi6sIqjwVoIEWr5YbG9O7th3UA8s&#10;tauWa9bmGFwLXqnkFheQPMvu8BsAe4MWq9YWqBmE9QnvJERtn6GmE01lDkC0qYAn1VexRKkkmBLc&#10;+nqXWLbkYOsT4dYqIU6rFprgMZYs7YZrqQdxyT8UZdt3cd5WFR5cuYTLQczi+49D3YEvEeXSnUC6&#10;KiBFk4r3f5ES1JfFhYelOiDgmSu+dVUXYDBVgfCt+qzQAWfSKIB5gXSZIaqY+KKCoAf3gs8iNWIz&#10;32pneGCFY8vEYjmvoIJzUcvvJHGulJQxkrA1Zb6STWKxMh9ArNRG6VqxxA6KIiTSMhNLJVUIr6qg&#10;QfhXzTdgZZcKQYIEP/tRqLp4Acd6j0Juo3Y47+iBsl0pKEvaihtJzMG6tsGYKXboy+Gu1bFksoVY&#10;oUzaoLalVaoyN0GTSEwyWebUqRJMjNZHZuK8lDogPwudSPhrRCvfnxasX9yhGY+iPYJb6jlPhbMZ&#10;b7V/lt3KgBZbH3ldDV6GMi6KcOIcVjvfSFjYhXJC2mYk7JyjSt5S/p4q1Vo14UKzWglzRQ2MJrdO&#10;EP4l90oSxkJogWBK1CXySxyYlL+t+ZgZ5Y0rXv7I+7w9we2MylNnkNupPyqKjsFuioOac6VVA/Qh&#10;rL5qYEKgBnHYS8llMKlC0QC9vuJjmQBHHh5EEEUBqLkFIrVUokY0sRMOpIXjkcxKvCALUmSuL1UB&#10;k0zn185TCRjOkf0pp52RYVRBjp5j07lY7fIGWzVMbt7YjNmrw7kGQKZjxiNmxyyMY3HQkmCJFVqL&#10;fNIPf5lHIClFCW21OVuaMxtFPlU0oC/RWDBoEOc2mkHDNj9blK50Q8HnHZDbkBXa8xdQ2GUga245&#10;2OMXw0hKSwmaU7uKIpAZhBLSDqMzMhJw6cQEZElyi/WKKhCVIHkBidj6i5ogfQjIcgGM6PB6jGHY&#10;mhGkJiKvCozCrvRYVOl17Pm18xWwurfbGw7YfNPpFmlcKilrva76LCaoiVzIEYqYH5OQmiPLhTYr&#10;uSVll+kc9jL8ZTKGDG+tBsYIiwpAlWeYF5BwdyItWDJcwr9mBFRFZUIXdFy2izqjLGU38tv1Q/4X&#10;HXHSlPnX69eR16YnqkkRR7ekwNhGX9Km8JdioCgD0agKSKEH5l8FSKkUiLOSZLZEaBJxGTPM1dKF&#10;WtAgAYIoA4nAsrOCOYc3AaUXkhiCh2Ih1yhcuMi/1y5QcivtXVJBLwvDqIITUxYrYEUViMVWc4FF&#10;el4CdFxnkFUYi0ccLjv322lhqlQPmFdVhUI1CUNTBiooUCGtRFsS0jI3SxpQYS2H/kT5DCli1fLe&#10;uLzvRxSNGEdL7YC8Zl1xv6AQVzi7+5TNHDytq0OCm78Cqy/FvyRkJLslimA0AeotOQQCNpABwUjm&#10;B+onbIj1Co+OYlAxiNysyjKsJIzkBRpKpzWY+lZSiLqsMNRw1rhLYBiuXE5W1iuT4ko9F6i1tul/&#10;6vBbANsGVzYs4XT1JNzlOqkn1foVfPzyzbvncVhrpRd5lEKiNmmjueLasfpZiKNJFRIUiJWqZIwU&#10;Hwm88O2alcNxMysTJ82nkFs7Ipc0cCUgFPeOFaGg00A8KDmL0rQ0WFiuUNp0oEpma4pAKgbiyCTC&#10;kjKMkVjyRFdGWFIfk5Sh5Ga1zJZoWJUQFyoRp0fr1ZIwDjiSG6kMpba+NKOf7n/eZY5W83q345PD&#10;/Sd8Y5AA4cSUZS8stnSdLaqoBBZxbYBXbBRukBaeU8du2TOfHl+sUBzX12oCsnpksVCoYQojLeFc&#10;AVG0rCgBAd6ciW3J23o5mKLyxEmcNpuE/M/akwI64OT46ajIzUVByx644OqNynMlsJXpRARPpmZK&#10;qDqQJW4zDm1JuBgRYBPq2n6kAQFOLNSEr4nTGs4crKQNB6j9NY41VxfEifpWHB1zClQRRcciceNa&#10;AvZnUsNWx6hgQX7fBYfZ2gr0d9o/yusz7iuDAFtq69k99bVvfpIFwRdc53MRBpcWXUyGV3QChnLd&#10;1p0byUjLtOfsa5kHINYpKcKWaogrfiXPCteKOlCJGFrzVOdOKtMlQK9eOhj3z5fg5LipOPppBxyl&#10;Cshr0hWVh/NwwsQGR/7cAlWZOSgJ9cMkm8XMXLlhFC3RiNY6gFZmYmPPiMueKUPOapklWS1aMa12&#10;OB2SAC4OTuNSTpWnFZvyQmigC/icDS5ZMf3cg2OFUbh+nfzKhYCL/WJh78eVjTSkc4tncgE1Fz+/&#10;16E6z2TmlwYBFv+EPxDYJ7K44czCKair2AKXkHByZjhyuEpQ5pAeyXVTnCl6VaxUrFVAE90qs2OU&#10;QnDpwNyB1MXaYtxyAs1IbfnSnigrOIxzSxw49Dui4IvOyGf/g6Luw1B3+QqOtR+IvD+3wt0MHUpC&#10;vGAzeQFmT7ZH5CpvZITG49T2PTi7Nw3FO/dhH1fX+Mxn9dV6uQJXpJRkrMT7i1UOoqULFQxgoCCZ&#10;MElwW8zSOzJRCuMdcK4kBleuxiM+JZnrIqjTucLnWdUWHLeZoAH7Qcfy4vmufzYIsGqh8lst70pf&#10;lCKuzK7hlxUWaSumtTWsCTh52ptDvLmSWSKbJFUoUZdM3pAcrRQKLVWBsSXfE6ulImBNTBfqyQJl&#10;GnK/7ISChp0IKsFt2AX533THvYJ8nJg0E3mftkGpqxcqzhajZNce1N6+Tc9dhcpjhVzZvRlXycO3&#10;Nv+IqrPnOJoe4PjW7ZhAC5ZSuAmndsrEDHOWZeRRFMEwOiyZbTiCmna40rxCKzLFyJnrbrlcigtE&#10;bl3Xr+UVrq3ZjLyho7TeC39qf55tWV43HLAftj8rqqBgwEjVYaP8RjxXvSRjf1YMrl2Mw02ubrGk&#10;FU4igOLpJ1DTqihMgObfNqzOSmAgYazMGZAobMnibgxVL+K0UAABzVfAduJz2TqicMBoLsNPwx1u&#10;1aWl5LxaVJ0uxhXvABQOHY18Ukb+Z+1wlJZ+lAqi4OvvcGbOYtSV38GR6GQMGb9SaVYBTZyciVgw&#10;ozSxZMmOSZQmxUUpNoosm27nxrVh8bjOAChscwwSUyK5oJpcW7MFOQxOZAFd5nvtsw0GqrLYj7uk&#10;CcfmNO+Bh1wmFL0lEhsTYrhyMBR5x6RHQSzXz/aDue0XmCn8uqAp5q5oA2s+LlzeFuMXNMYMWutE&#10;UsKYpbRsl7YIdJ2AmstXkd+yFwo5/OuB1SyXGx1YXtMuKB41gVJrNgr7GeNo4y7I+4JgihQTYNUF&#10;EWC1C5L/eTucmb+YF+wKZtmsRD86JZNpDhgyegUm2yzHnNmOWLnQHf6rfRCwxg9J3n5I2BCKaLf1&#10;sLN3VguYH9zagkNcQbnjQCx2H4xhH4NkZH7RVevi0bDnDwYFls10wlSHik84nfICO1LUJWBTfBx+&#10;4KLkJ5yo+5iUsMpvGA75L8fdSyWoun4RNbevo+ZOGepul+HBjSuounwO18/koiRrOw6xfl8Y7YcH&#10;xWdQ0JRdLwji0U/bcmtHwAQsKoO/tKNFtuVzUoMohU+5ySPfL/ysA9/n/gx55f28zwgsP5//RScU&#10;dhiAavJz4kp3xPly1ff+g7hVUozq8ttcY3sfz58+xE8/PcdPz5/jOR+fP3+Gk+s8ELTRU63nvc+m&#10;Fo+5gvwe9axMn6q+ECoRl9ZYqHEfb4MCm9G07wode7JIixCZNp6amYTBXO8qy+LjdnKFISVJzA8z&#10;sGPZGIrqCjyTE//pKU/6KR+f4Sf+f85H2Z7J39xu6rJw/3QJjvc3RbGtI+7lFOBqfDKO9zLGGTt7&#10;VBw+irL4rSjqPRLnndbi7uF8XI+JR1EfM5xd7IS7Rwpw0dObf5uwE0cMyqkiSqwW4NTEGexTcwV3&#10;T55QoPFbFYDynXI+9eek3uPfNdevYMdMa6SnhbCHQhLCtsUiblcsaStCNYsoz/BCqjT84XKBrG8G&#10;zTAosOlNepnJ/FAd4+WrTPqW39yC4vMk+ZtcD3t3s1qdePz4GriTNy9u5/L2p3pA9SAKyApgeZQf&#10;x8dHVfdxPWU/Kk+eRvHspWo7MXcpzshzcuXpOcv5uISvL8fpWYtxavYSnJ69mO/zPe5XPGsJn3Pj&#10;vsXyGvc9OYN9Xo7kobK4BPdLSvXfpYFaD+zL53Khn+BCYggWWX+P0rMxuHs3EfPWRcAzirmCjASU&#10;8Dde2WCnFRIJbM4Ay+4GBfbosOmdpL2SlH+LZ05WOcsbl18u/BV1UHEjmrmCjthnP55i/pSyjGcv&#10;gNR+mLJivSVX37qN27mUWs6eapiLE8pjtFXwZRfkkkcLPhfOJEU078XeLj64SIl3ycsXxzjUCyTr&#10;RfqQJE3+V93Ju1QTfE2o4dSEWYwOK3CdauP5M/3FfHGB689DQKW13riObSsWwmq+G9WORJJJXGLK&#10;5aS3kxnecqEz+fWktaWKulLfa3X/cN8RHxkU2DLHoNdT32ldoXuzPQ537acWma3yj8SB3Ch4hEch&#10;PUeilGSs8B2GJcs74VSAOx49qsNPzwTIJy8s5oW18AffPHhQDdljHQcpFVBAgK5FxuHG3lTc2rYd&#10;x7oMVjx6I4bL3WM2wmHxXGzzCEDZzj04Sq4t6DoUt/fuxfV0HW7s3IV8al45Th559u7hIyjPzUdN&#10;2Y1/892vnsP5kHWYxWguLEqbZXjzWjwKKCVl0oasX3vMliw5rXsrRZD2TuujbJT2vw0KrBws7bPO&#10;B3RsuZT5YVs2nwnD6WIuad8ajaIT8XRU2pL19CzG5ctaIYLJ6ts5qbSY55rVvmIxwm115bdwm5x4&#10;NTBSZbDEOoutZ6AsOwdVVy4QrAxcWrMJRz9piVtbt2L7mnlY4GKHqGWrCPx+vt4Gl7hCsexgOlOK&#10;F3ErPQvnVZqRjo1WfHLCDHY8uofr+w9ojuqvWGzVySIkThyPMYy88o+yDQCBdY+KwELvCMxZHYV9&#10;Oi58PhkAHZcIyOp33Zc9wgwOqpJcn3ebIlQgK/SuRzqowOA5l7pfL0vEjoOxuHk5AbdvRHGVd09M&#10;X9kB2WttUXvnBp7WO7B6KqAVX9uxG3U3b6DEwQlnJs/GqckzcWHDRlzLOESv/Qw3DmWz3V8STllN&#10;w12Waa7t3oXD7A9zPSsbN/n3aauprCZsJaDZePb4Ma0/DZc5ck5PnoVibqemzUXlmTMoowaWlOML&#10;K5VzeP4ETx/W4aSjHRbMs8dEyq8Ht+OZ90hSzScc/SJx8foW1SnpshQRhQY4E0jXavjo3wTYjK96&#10;ttS90eqhNAo7Nm4MntcmY11EFOavjkbsLsbUPLmnbGjmHTkONq5dsM5pCM4nhNGRPf6ZxYhju3fs&#10;OKsBJ1Xi5d7xYj6eQgWf3z9ZjKekicoL51FZdAIVdGz3jp2gVLtMDy6WXo6KwmPc9wRfP0npd1G9&#10;Xnm2hPvz88dPqWNVnjiN8uP8PFOOdRV3X1EEVAK8sFdTtiCcs2r6MymzdZuvCssfs+1KTlEc1kRG&#10;wsUvGrWkguPGpoy42rOnYcu6ogEzPvxNgL26YP1rae92Oq9ann7WBY9uRjN9yCXo5KM6yVmeY18V&#10;kn3pWT8mWbpwfUE37LQfi9tHs38OrHJqoh+FIijE9DJMk2Py+hMFlrIypSA0K1PP9e+p97mJA5Ln&#10;8rraT0krTdYJt6vXlAPVSz0+1ly/jHTOWjSzcmS05Yq75NWH1Ky5bFslelz49TGjy5rz4ews10V1&#10;njv4Toe90ojyNwFWDnqo6cDotLeo6TjD+zonignB63Lj2fAmHP1mUwdKwxs6Mf9Ya0xz+Q7LXXqj&#10;0G0h2zVVKL59oSH5Y5/Skp+LNXMTq37+XCxbrxrE4dWD+1f4UcB8+mJfgvvsCS2uimK+FHfysnC3&#10;MIfWmoPbeTlUKGcIVBW/7wmePH6IEn9PLJmyCJZzPRCZ4Kcs9dSZeGw7GE8NG41T9B23SG/XQpar&#10;yqy08Ut7v/2v73L8712Vw51Ne6e92fq5ooNRJtSiUqGNReGprVhNOfSEmSCZ61R6PghzPHpx6wOv&#10;Jf1wLprzTp/U0aGU404BnVbKdq50icSlRG0rTYig/mUtLScD1Vcv4NkTAv03nI5Ysgj754ycnlTf&#10;x53CPJRuicXZKD+ciw/i5OQQnEuI5vNIlMSF4HxcIEqi/HFxZxKnKyUjce4sTPreDVMXuJO+tPkD&#10;O9iIx5JdlwIS4uEVF41q6tncAUNV/0UWUp9lmll/8JtZqxx436JFb+je71SS8VYH9ohpg6rjgfSm&#10;ifAMj0TA5ngsYx8s6Y31iHowadd8zHD7DvPX9sMPy0bjXEwISiICUMwfeSTcHftCV2Bn4CL8GLQI&#10;e1j9PRK1GqejN+BcVABBiVCAPX1Yow899QJfb72PGVyU6Q7gXIQfirlMM9NvI2I9POFJZbDMdg1s&#10;F6/BQjtu1KeOti6IcF6LLN9NXIhnj4XznDButguyD4WqVZblzGRVUtVcu8JeXKFR+DGV/iJnA/sz&#10;dNCaPzTre/M3BbX+4BlN+rtra55a44ytDfmV3pRUEM5hdIdxtkwqE2fw4HYs+wWOwbzV/eHiMQQ6&#10;7wWI8pkG17UjYO8znF05jLHCz4TJZDMuGR1DXTwaa/zGIixgOjKCHXGCEzRKY4Jxv/SsiuRUwEEF&#10;UF50FCVh/jge6IUf1vpgncNarHDwwWKHjbC13wC7lT5M/HhjwfL1mL90Pb5fsg5TbD0xjcuXbBes&#10;YjDgCW9fH/ae0fqEHS2Ix/potm+lChAjec7OnEU2Y7X+BA1a/aRrM9QwU+P/o6tTaGXXVPdO+2pp&#10;K5r1aRc8YHu6h6orUTwychLgHslhyFBQ6vEXSQkrNozEfK+hWM5t8YYR7B9jhBUbjQkoZ2gHWMA5&#10;YCyLd+PgGjIebiETubTJCqtDJyIwcDLSApfh9EYP3NAdZFbtDi5QN5/2XY0UL0+sZ7nG2X0jnFz9&#10;4OTsC0fnjVjutBHL7H2w1N6bAHtj0XIffE9w59itxZzF3phpuw6LHb1Z9WCPWE48eUDaqqVPcAqO&#10;YBqUSW2+dv8425R8JO1T2yDt7fZlDLX/9B9hYpD3VWejz7v7q2wPK5dnFtoocV1xM5lVgzAUX0iE&#10;N6Ol86WydDIB+YVrYes1HEsJ6opNo9h+zxgOfqYEdTQBHcteBxPgHkQwgydxKE6CZ5gV1kVO5WYD&#10;73BrxAdNR6H3SpwJ3Yi89S4IXeMDr7VBWLsmEO6evljt4QtX901wdCW4Lptgv4oAO24guBsVuAtp&#10;uQuW+mD+srVqKy1h40uOKKnArgkLx1QPtuvziMQSNkd7+nAzjk8aq5qdZ8pijka9VxgEtF96kKyR&#10;kz+htnuQJk1wP2jPTNQmFhkTsS46GnkF9LJnE7FXF6falD6v3KLAXU5A7X1NKcDN4BQ4RlmpW/B4&#10;uAfTSsMmYXWYNanDGl4CaJQNp99Pg0/0VPjETkdI+Cxsj/GG37ogbPAJhBdnyXit98P6tQEE2B9r&#10;CK4HrdfFTSx4I613E1YS4KWkiCWKHrxg77we185F0bmyCyjPNecIpVUtp0hRj0vvW+k0V5HuQ0tl&#10;MEBuTXun3dX8XmPf/6WYGGy/9A/brlRWK5WFYSNVv6yt++KwhO3wItmk8THztC96BdJyS4v9uOZ2&#10;HJz9OPyDOPQJqFvIBGWl65SVWsPNzxnufvbYGD0F60JnYVMkrTNiHcGeAf8QDwIaDt8QNtxZG4ZN&#10;PkHw9QqAB4H13BBLWtgED49NcCPIzq60YJcNBFOsl8fw2oQb52O1xmm82HVMD7qwG50fk/UPpa8i&#10;e3Y9ZPPgIz3ZCltaVfN3pX3Zc57BwPrPHKjAZmmTtD+1uZ/JyCSdskRmi0gYWHicnTelHbOcsL79&#10;h7QelQzYzUt0ckmzOPzHE9CJHIoENdyKC/BopWG+uHqrHMGxbCwZNR3B8WwteqQIuUWnsCF8I9b7&#10;udJj52E3twOZR2mtm7BmTQB278/C5Rt3sGz5GqylBa9mjsHDwx8utOBV5N7EeH8mr9lIUr+aOyU1&#10;GieLmZkjFYQlsynlbuk2l4jzrnPY45srMKUZ+nvtTuT3n/b/75YDGV/3m5baoPnTQ9JknIR/N4dZ&#10;In2HYtVaj1sd+xKGsf9gXYW0IpViXQzSM1exD+JkAjqZITAfw6ZgdVAoDh7KR1BMFHyjpyFicxwy&#10;c0+wbelpJGzfjsBgVwVW2uEi/LDvELzXbEBU0m7s3HcEp89d4XCnt/cKxLp1fgRXqMIXBdkR+uXx&#10;dFQc7jfLOMHtchJmObNhO+dESIAjXebKD65HxoeUV3RYGW+0eJbVduTI/4yRGXxfJCf/88F3WsXJ&#10;TRiEErJa9UDtJaYQ1RxaOghariszWBZsxFt5RyZBJLGPrNZd88bVcOzavxL+MdOwgc7Ki1tKeiaX&#10;tsfCP24WXDa6IXqrDtkFp7ExJJA9sZwR/0Ma1vom4MLlm+y+4YqDtNyCU2fxoKYGa9idc4N3MAI3&#10;+EO3LxR3WfB8WhWn+htK5m1bSgxGLAplm5VwVogj4OobrqThg7OhOMycr1Rh1aSMD7uSR37D8PWX&#10;XoX0Zr3eT23Q4oR2u5S2yOs7ELU3OPRIC3tYjIvbHY9F5N1MOrUpjhHsayiWIk10uZEiKpgR25/m&#10;gsC4mRzyQXBa64zQhFnwCVtKMFIQkZCMJc5WCI/0RFTMNvYrTIWjmzeCN3hjk5cfXN18EBy5HY4O&#10;q5CrC1dzy54RUK0VayLOnknE8RMS/yfQeUYh4wgvLltA1RHwuovRONKVFVi5ZwPp7OA7LU7mT5tm&#10;uPL2LwXxb+2X8UWrtmlvtLgjN5XQsdtP/siRqL0eQYvlfRLoKExswxCyNY6JmTBqyCRUMXlzhWlG&#10;mcKjOllwSN6jttRluyIieR4ikuZwmM8mH89BROJMWu48JMZ5YEtUOBLCArE5IgRJEcF8HowtsYEo&#10;zIlANaOnZ+zwKVUAEf6XL9LTM2S9wyE/mQ18a3gulUxc/8D+4DJZupa3FcjtNVAtipNES+rbre/r&#10;ehi3+7VYGPzzqR+3H5raoFWt8JTUxo4OHIYH51nRJc9WMfbeui8WyVQNz1hi3hAXRUUQgyiCLR76&#10;CS1MWwkYj3tlUcjNWcNVggsRu3k+4rctIgXMRXLCGvwYH4qdzAf8EB2ElKQQFB+NRDW7IMuFUZ0/&#10;6juE8vnejBhsJK1Iy1TvGOYzWBnQVAEvbEkwcrv319+MQm7p0vZZVjeTmQYHxUAH/MPBTzpa8Y4Y&#10;j9WdM8hXhzintVIcGkG7x4a5Im0qyLXm7EYcnMwggsGEzKj5YT+7zbO5rnQg1pqlJ6KyLAYFeZ7Y&#10;8eNibNu+ADs3e2JvYhB0OwJxjoDWUXeq/oMv7rBRv+BEK1tLPnXB6gjE7k6glIvg92uzdu6me7Ha&#10;2l3NE9DuHtL6+eGeo72Rnm74souBgFWHSfu00+y0Bs2f6FgnOiS3Hvm4Ey77LdbLHZlBw+7yLH2c&#10;Kt2CCoJdwSEszcqzC5Ipw6JUCVqmqdcvIHlwKw7HCzyRtW8dLrJ3rIh7rQ2ptj28G4uScxLlcTTo&#10;G5CpbstcQXmfx85n8rqOHealgfBFH85z/ZBzBMin6h4z7MFwpP+4DaeSk/8x7k+W2XzwzLQ3Wz2W&#10;E1eWwdA3t89Q3D3EFn61mzmDLxG7DkapLFj8blIEU4/PauIRyjkKB7Ip1mm5pedkeEubaf0iC9XY&#10;XH9nDVnZIvRBsGQu2TTHUPIne7lQ/Gs9wmU5vIArHZM5N+DgWuT1GKLdBIg5DrnFC4d/3dEhE+eI&#10;sjGkYf2mx3KkXMkxmz6Odze6IHdI0u6LJV2T2+KklSU7CEvDBXpn8t1hZu7XR8epiRLTeF+Cclpx&#10;BsH149001B06uFXTMsWra6tYkqhdY9mbWzrBayDu5IycDZyvm7CLMxBPi9rQXr+X44uisWbIZDM2&#10;RU/qPmStkfphh3OFFvP7/6Yg/JYHP9x3zEfpH3QIpGJ4qO6IpNeKuo9Y/59sicrcjapsXkcQRLxX&#10;s7YvFme7Lpz9tIV/GR1tjsZ6NkQPTIzD2RIBOharQqLgHhLLPHC0stgHdI6bmKA+JeUh5ibuZW3E&#10;8fGj2ZqVNwriwjd1VyYCyqaPtamfddmQP3bhf38O4LcAOrVpn56Z77RLY37zaf1toaSknPFBJxRN&#10;sEBlAQt6+vC3mjQR9QM7yXPol1OaTXdn9FRLx8fkSS35V0S/3YYobJFSytZYpB7S1ISI/Xv5vigc&#10;Y6YAFecpyRTloLhqO+P9TofSWw3/7n/SbQjVtYJ58j9nNu0zNv3DzmXSdU3d+ExCSALAeac4YcMZ&#10;NCekdYjWW1Bu3iNrARasjcIx1qFqhUPl3jJ83TuWyRN1cx4CysLfvVzOkLEcre6uoVGP3E9M2pK2&#10;Rk7DPg8O9xo985Sj4z+Gg/qvWvZt3+QGR9qPXEBrvSpZ+gwWJ9MU/zEFSWd33Ho87heRg8mlco8F&#10;qVDs5ZqrH9PkJm3atCbJUD3hbagqDm9E0WgLfo5gqhukaUOeF+6ntLdb7s/8otfg/+p5/sN+7tg8&#10;x3d0bKGa8WGnS9Llst6CxcllfsSZMZwBeP+YPwuG9dJKf4ckWmglb/hwijdhy2AuWCxTRXxy30Za&#10;aOr7bXNTP+s2Mr/9tH/5hwXHECdeOHfZB5ntBy/J+FOb0nTes1Csrv52rZkfc7qQUEQBb5ZGJ3U3&#10;yxcnrMaxdNJJJUyEQ+Xuo8z4P097v0NR+td9xuaYLXjNEOf1P+YY6eazGmS3GbIo47OuteLJtXst&#10;SmKH8xiY0jvak+XoP8nt/zRtLPE9vfxP6R91OJvdYqB1vqPj30/y5O/xqpwOjm9+eOA437S/dKmW&#10;eyaqeyuq25pqYModROW+iRm8GW9OJ6PpN9eufePv8Xf83Z7TKU/fjzO7GbvrPupyR1SE3KhSkjsZ&#10;H3c9n9nWaG7O+qTfh/yvuXpljuveT/t6wKyDH3dOOvKd+bSsyXZv/prj/f7Z3xH4HYHfEfhvQOD/&#10;AWy7Qh0XsF0YAAAAAElFTkSuQmCCUEsDBBQAAAAIAIdO4kDJQxD0iSIAAIQiAAAUAAAAZHJzL21l&#10;ZGlhL2ltYWdlMi5wbmcBhCJ73YlQTkcNChoKAAAADUlIRFIAAAFcAAAARQgGAAAABrheywAAAAFz&#10;UkdCAK7OHOkAAAAEZ0FNQQAAsY8L/GEFAAAAIGNIUk0AAHomAACAhAAA+gAAAIDoAAB1MAAA6mAA&#10;ADqYAAAXcJy6UTwAAAAJcEhZcwAAIdUAACHVAQSctJ0AACHtSURBVHhe7V0JuCRVda4xRk1i4hgh&#10;LDOvq/rNsDguWSBGowkkLhBCxMRBlpnXVf0GBkRZNCroR5gYgmCCIkgCGh1JSARFVFCWiIqiDCgC&#10;ElmGCCPCIJqwJJEMJCj6/+dUdS1da3dVd73nvd/X37x5r7u67rm3zj3Lf/5jWWYYCRgJGAkYCRgJ&#10;GAkYCRgJGAkYCRgJGAkYCRgJGAkYCRgJGAkYCRgJGAkYCRgJGAkYCRgJGAkYCRgJGAkYCRgJGAkY&#10;CRgJGAkYCRgJGAkYCRgJGAkYCRgJGAkYCRgJGAkYCRgJGAkYCRgJGAkYCRgJjCyBDU+xOv1Zq+Oe&#10;Yjn991u2+2Jrj/U/P/LlzAcnJYElloW1mz3wWdbOc8/Bui3FF+N3ZhgJGAk0I4Hlq38BivINljNv&#10;j/wF3XU7WLZ3q+V4P9GX+2P8e7bFa5vRMglAwS7zdtH1PvBp1g5rf8nqen8CZfvveP2H1e2tbtkN&#10;m9upLoGf6Klpu8+wVmGRV675FXnx58U+OOeV/e2xwXfD/HfEJv+51kyZitLxPipK0nbvtTrza6yV&#10;Rz99pPtzvDNChesr3q534EjXMh9qQALYd7brWM7cQdZM/2WwbJ86+BLHOwiH5EP+PviYWL0/E2On&#10;9b9oreg9DyfOOyGc4/D6jZEfgLYIjArH9j6AOX0A8/kcXpeKNWS7eHmXWE7v1db2Bz6zLbdbw30s&#10;sWbXP8vqzv8xNjFcbO/z+Pd/dTN7/4d5n2fNzO0ph880xy69ZbinTXElCcvU9j4mh2HVYc+/ZEjh&#10;Ou5c1ctM6f1LrM6hz14ULjV1iNM7Fut4ltXx/hD/7of9936EenqyL5OhHv7O8e6KrN1bprQGE/1a&#10;LLj3W1jwL2HiT0Ymj5/dv1vQ8bBZuC+2+z/DD2PE/ex418nmWKgnK63C5VBgtjePeW7E6+bs+cq8&#10;n8R73z7RHTb4MlgvvE+6kIMQQLAW/r+2eyX+vnulQ6Hj7oHr/Sh+zbl9pjPHkt/KQ28W1p7t/gPu&#10;+9t43YGf32ftjnhmq4cfd03GW6lMO+6HU9b1QXm+ONfoM+b0f8fXOUEo6FpRyot+zM518BB8N/UB&#10;YFxldv75C1oGHfe1mNuj+UoIVmC398IFNU9aExr/+gxe/1+gZP1NPVBqfzuVue6C5JbjbStxr1Se&#10;55c+BGfn94xdk/t2Bt5aWwfXzu69E/fMeHNibbxvWJYfBmvb/c+u/TXstdOgL27B3puPhahsd9+c&#10;tX3M6vb31+lIknN/vPfByNy34XqvbNt0m7kfnkxduHJpFocNoSw0RZQmJds9ufAht92/bFWMc3ge&#10;S8TqW7FuJSyJv4D38UU/QRR/YLMsx+D3tC754Ex6rNz36XhQP164DuH931Hau5p1X5q47tWYXksz&#10;3ns9FW43Y85RbzK+ht3eYaUPm8mtI/ffhQM5i+c4//uWxfnAWnXcLRlruw37dR1u8ymSJJNwpfff&#10;/nvpbd2Cnw9o4XwblKzd/6N0Ybn3Q1hrIMy34t+XC3xD3IKFFNjmiYoESrEietzqzL0iLmV8lptk&#10;2ZrlVnduVxxMbxS3z/Hegn/3rX9FxLLRFw9CKsbOYV05/W3vg3j9a0kLMU0JP4bPftZa7v12/fdd&#10;dEXMi7G9ojVQlAEeQvffNMxTcnS9o+IWLmTV1vGc+V+GLD5ULIveq9o1BYaD3E8n5Hwn9ubH8fv/&#10;kt/b3pfxMxVodP8hpiu5FKyRe03kbw/j5xOt5et+tV3znMTdSHA74dro/5+Iuau2uxm/Q2bZfdeC&#10;SDYxAeP034Z7prLJtwTpltvuRdgY/6gv93yZq24i3VCxl3t3vQcPlRItV+8jeG3UpJ73HbwSscmC&#10;eaTO04Ub7x5d2mKse88xxhxkorPXgYr2cTnQiGCoMhxX0Q6hFX9ulY9P/L2amR8OJ8TmMK04e440&#10;NAmWdd9bxfvqukjYDp63TTDU6H2cL0nbELp3Aw7U3838pp0O2U6Nu7Z6KePuGMdzCxXSsMI5adyv&#10;bezzBFGLm4OEWJGiHeXvtvsENlbNcVBAZRzvU/Uo2EFS8CEosGsk1jtNSJjt7m11evQKTrDs+SP9&#10;kMhl+P89mO8Flj33Zvx8pEVPiy7q0IB1xQeQ+E0m1BxvH7z3TweKmXHs+Dqe2tjequPC9vwfQHE9&#10;kbs3baCF2jboHWXmC2CE6YDh4BGpgBht75/x7w8i81QvKwxpLZF1pfc4C49GPEiP1v8dkM/tiHMf&#10;Yu0VgZC1TR4j3Q9d1wAPWUX52N7fjPR9zXwIi3yobc0wecJMqXtjI4pW5fMjbIQzLauBaiYeFBJv&#10;LngY89ZJLfVvQiG9HgqpxYlAKFZmpZlAIpokCw7G39veOzCnb0Vif2rN8jBRaBHi2THLf0Mz26ym&#10;q9LbyIvhqnveQoUL9z8NBUMc9UxvhXhQ/Fcgie5teG9wqDyG+fwTns9XDbys7sHAYSNUyXXN8uJs&#10;fL7bP1lCegvc2l0i1kHXewEEcSYmXCZzHLpsXbjZdBOnMRjz6aztwip6LkD9q2At7SGLWeyyVksu&#10;he4pwwmE7NyA7zgcG2A1fl7a2NR3Q4yvKyGNasgDjX/eDct7ncSdF8KQ4gf3MnVTAUGMDj68tGKH&#10;8LoxxfpdcVltgVWF68vqtTaPLg6QIuPGBn61jUMPi7h1bnvXY8/C+sW+ddz/HMyNoTiJ6QITLUVH&#10;gDDyfY57DH7PkFkUqZD3fG7Ftd+c7v20UUi0xmi2EyrTQYyFAHPFQmZnSrM3xDbF1E1joGLF6b8L&#10;942AO5IrRZt2tL8TQkYw9jfw2iChicmMIGFmSXycSAS63GUVr+19Taz8BTNYfdR7d+ThvGdwiEti&#10;yTs1N85J6JfdexPW59dTZOS2WgwMRxXuzcQB1JYJiceBIqL4/SPXA+SBhg9QZu1eK15J1/s9q3vY&#10;rvjdQVgrhlFg0SLxa3uPq1Ur8eCt8rwxPxSL8w7lTH68cEp/ZWOWSBwVbgKxoj4zteSL7R2KhcmP&#10;fZWawxDYnlbs1bCoICdAXUioMclB6J1Cpj6BjfkhH0OKqjGiFCQJcQQUy73ZDymsCsbXiGhwAPgn&#10;AN12cajKNS/wD8h2waToqWgMN+I5uX9u0cK3kWQJEyz3+QdgJCnm3YD5vkCWyJ7/zSHFTOx1m4fj&#10;3V6ocAWmWHLQepxUrHPZYcv9hHLUIt2KPXe4xNdZNSeec6/v78EwhitxXWDedd0RBur1JC6vlXYH&#10;45VTpCS658OtxSgPlkpcswScYxSlpDGze6QqbVpDy1VHCw0Mf46VdLDy3Yvl9J3eQHiHIZHYvK6I&#10;HWpUvJJIyJi77X4F8/gXKKrQnYtlvBHrbFOYQbDfEqsOQ1m05DVp8vbQ6oWXsWItMt/IF4TzeUC4&#10;IYKhVWYJHGsAsp/eouZ8M5NKPyzcx53e2sxrMKTVWbPKWiFzPxHP5ZWQ5UV4vbexGWs4gIU2X1cP&#10;ed7TWC0S7va654rCJ6xSKlaT3qcoWVjF/ZOsWcBLO2t2Gtyn7O3eOaKIi59tzq9dhsOwwOm6VQKc&#10;Zyg0dxNM+hc1tqBlLmzPsWa+GOKVtnBqGSMW67GE+e9R7bK6FWWUgqjwbvI3GxJyAsUDmQusVRkC&#10;FyO0bYyDBg9GWzYqMZmOd3xiPpg3eC52EQD9/f7fHkGV48vx+71jrqa4riiHnVn7SovwIYkJJj2W&#10;HtAOLR06/4LKR4T6GFaJju2PeqZYjh3GUJlPSHkOWDHaRGkwvQ4lCLpLcPnRvURWtpm5l+mBn7BQ&#10;bff7+MxG+UwaZaaW3hPbWwL6SIXcQ6HFQhi8Udu9fkR3nFbI5RZdiakPwIMc74rc2F784WNsCKQ1&#10;AozfR9zVtg2GExzvEVUa7k241/3w+jPc91K51eVrn4+fuXFHVLjuVa2ZtyIKCPuJx98lU4096rjf&#10;8+XA2N7xMn8S7mRb9p+WopChvwuPAjhCXv9ssQL5HuYdlLvAmeoWWHYI6AkLjYYnBygYsryxEsvx&#10;vlr8/CIm2vVQpVbnYN4EBgrjskxWDwYLimCt6vPFmGywPx/G774s8doOktp5cEQiFRTmB1wywkQS&#10;cpC9Ee4P2fvuF5CD2n9iYZNaxKeW1AZM8Jb84HT0wUa5HmMxwenExaeAyDjFF2FHQv6MGMykLCh5&#10;aLGYUh4ZvOBK8WfCtbrkV8UGpftTXMK6RFztFd4MLMo9BPFAy3JS8TAuLBMLgw2Gct3kGC+MslUU&#10;9tQHIGAM27CIJF15XoDfh5hplnsq8N3CuvJv6YeN7W3RSshkSEFQK8DmEh44BNSHp1axsKJO+TFm&#10;WQYVZCOezYO3TLw3nD+Mo5or1OhV2h5DiWGhws54Xhz3pNBQEGOBh+RtyIMcMlJBEGP6kgCVOR8g&#10;CBW+RGm3lFui1L6gCyDAcSkvzMn087SUbCqV9PvwIoyDcUSW5AU4SJxs4gIyo48HA1VdhOmsgvvT&#10;xqG13C/GvSIJRQQC416wHLSiizFdygNZ0z5B+SfkVsPUNT8eDGGC6HOxy+oBl82sVWj1IpExqcG4&#10;XJL0W+QtipbVe2WTnVtjRCaOh/je4IGOXoNZboSGeidmKuRs+ZwzKbGkHKDHjHC/Zb0bhNuQiEqG&#10;I0adLNEyLFRgQpkGlZDuILlF+GEsRyDIhKMHh2TwfTSOJJFGL0MOOcRfhZO57XHYUSWW8zlaPkXl&#10;hYUPdKrlQcUFKwL8BaMSStc9XXnwiTeGW1QqXjSY1wONFDhE56flvP4BluAAYAyz2v1GHky4Yfax&#10;S+sWZer16OVI2Te+U+Jyc0AOoNpI5V1WWShnb5LHlkkzUbrgVLVdHuzB9a7zcbpIolX4DhoIjfBg&#10;lJQ08aSV7rfC3FiaLhj1mnDiGoqj9fpecB5gHVBCHUcJPYLn/KyEJ0mSG0cUM8OYxNraLBYCP4Yw&#10;2wEWJuTwC4mPpeTa5r6NAfjRcLjlHiCtiz9XTsVJDXmQEu6HLL4kypL3TWvpZtxj/LSOZ/fvazy8&#10;oFa23huLKqJj5uCd8fvRypOFm7S/l1j0TXe3UI+Bc6CHQAU4nNhUnCaA8XkJEndjpvuoBD7Renxa&#10;/mWB81QaKHPGgTZt2sYOiI9qV7hMKAl64Kj6HjXGbt3L5V7JEsbqxfizsVkgi9FBKlfxhkn3Gg3l&#10;QPYdFDswTqvXAEcuPOFFPTQjiJp24joBq+kC0zrKwkuJJU8usRSKqqFo7W7EA998iIHurA24Dckz&#10;giFEGj5tnAbfN+Gez5O4HyEsopCEHi7tEGGY4YjG94TjhTwATEIkBxVEWE6J7DZB5W5Ab1d8+Il1&#10;AdhOk6O77kU5e4mkNNgvQCAsB8olq2CFcCNyM6cNWtBK0l08X30PqAIlhvsefO/rZE+wg8k0+SSC&#10;ebGirvw8sub7COajaJtuf62Evkh/WaerLjHVAXom6jkRvnVBiKLBt87M76xFKIMDkBYt8LdI2ArM&#10;TxKiJ4VhJRwQ5E5YtIOBZ2X6CgR3Z+QhLruJaSVcKgkyJpVEgYNcQqtKIpZH2kOBVjZND1qHQeXK&#10;StRzk7lIH25ybp4tpcCBG8MNIgQbqFZK2/x0f/j5SQxpg+PLrIMQQqrCgZvIuDv7QZHkpRhWFK4p&#10;LUtWGTY6sB8U3hPNCfBn1slvUAo+gScm8cb+fQKdkFUqzp5sVXHkdr/f6HQrXxzu80rwAdiAq1Wy&#10;ymPPEpXYNTAW3ubDM5uNgzImH9cZfP5pYB0f8/o4J1vWOVhLWLPe6ZLsYrJdOvJKDD9AMjwg/eua&#10;9roqr9EoH1BwMkDiiKXxZJchUKqPjH2qMv4SZI6j90brtYNum7YLNyLTAjljlOlU+ozGm/SBp/tD&#10;nk6NP50SwwBK+5aBa5N22NwKQpR0S6vSDZV6MzG2WCveMzYk3f/MQRevB/xqKYB4sPl/iOv+1UQs&#10;O+49ZshJmsPEDUMAUa5ToWhMwZ/ysCa2dHgErZ/IAZxuFCiR9SMpfz+olPTHeZNQf8Jyo1ciSJBo&#10;g05pmsiE595YL/IGXIV7pIVevRxdqUERuyYb1wSbgKYpXMaIo94qUQUhhwm92csEvcRB3LBAHFmU&#10;Iwlp9KxjT0F6Gotl0AoaJGBQpipDYjEXZ29aKQi4Yvg0G2xyuoTnFQKqWYqY+WBgoZoewhI29GA+&#10;EJ6kcvAcAFmkx2xtlMeSoYkQsUkOJ6hLxzpkcVQQ9SGoikLAfMSy5XyQuJgkxC1TboirU7bp+2NL&#10;LIHC+9UHlfjOKLWfzo0hEvGqyIYmIQqNM0ZfCs5vdji91+m9yAFPWV8jlrhwBcjPTCLmc95mGyhP&#10;wog5HeECVG4hASmonwknmSSpHiO1gtKcQ2eGyOgcTiuYcXmUxbseXkvlrzQcbOKGB54vwnMksGkp&#10;emm0nYJNze60uikfFJefY/mbCAPjCZtmJVwnGUNCoFItJ/b6Qla1TNaTbTSmqnDTlJHP0alZ9HNz&#10;rMO7Uar4ktHkPtanQguXsuvgAUsOHgBSKViFQ4IFBIhP1xnTG2ea2hJ9WHnqfkEPr+hDDGVpu1ml&#10;ryQ6OT6kcuQhmqZwAZJvejjzh2fu9/FjtCdOfe0YhopDQDeDnW/7dLFGLG/hyIjirVEVGCuYaHph&#10;JnV9LWwISDFgNUAIbK5nS4ww3ZVhwogmf9hjKK6UhV6tx7jbGYVlddNWuERFJDf6jMSOaV3xFM6L&#10;VRNnOI0RV7j0UKJD2k6jyq/KA0yQOstd2zSi0LfhuYQKVyBNaVYtY4e9z2Kv7h6flihc0DsmLdwJ&#10;KNym4F3M8LdhSBJaEnO04BnuOrLUbZFEPoa59rHgjNlKLgkxX5ILMdE3iWR6qZse5U3aKjtIXm2x&#10;ZqSCyS+VLJ3dzVFKcMXzYpttVLh0TTVDnZfUQzHHxCgY4yvLTUj3M0w4fDT2hsosb5Ik1JLYtgzG&#10;7HJLk8ELoIOkLqBkjO1Vxv5ulEx8KvmOhIkIzE8aCg30m0sIVCvGSBqUNGYYZvBzCcKLQWUFdqyS&#10;4YVui4jHlfidhgyLn55RaksJfSOSlrYX9Dn7Pj5L/O3X/H0QyOtR/P96JEsXCD9CcvYsqRvEb2WR&#10;4xl4pUQ7Fb+/EpOvXptP2A7DE1mjA6anTEsMbl/TWcmY4vIfQO3BlBe/vnPiMduY/Fjy6lsRakkc&#10;F1e4FUmHGGsv+2CUenrGfNMOwnJWQEUIhcrxQqkCjB4+IFPHnsp0Y/mhDAt3UoUNkoFn6av7GiBB&#10;XoHD/bU+kgSgf1TYMcYsBPlCulREWBMkOr+N6zF+DWWHVuoddPAloToLP2hUkV92UoOHHPGyVZjm&#10;pGuJcIHEqTezvbTvTPcZHFWYmlTJsFDB4sNNwUF6RcEpVrV64brlDTLUZ8dwL2k8w5o2f8ZEWfdN&#10;dilJZAwB5adtDcZDCuT7jY4O6OzKrhNxj0HcftQ9VPfnqDDT7p+IFgHHS77hFv1attuWXlhnSYKF&#10;61Y4pqxwC+/Pf4MozBEQCjHZSVcM5Bpc8AO761tTxRnIgFBM6VknuPYS7F8R/dPpvbGsKFvyPmaB&#10;M1mVSGjRkxvV2ua0qqt8LK7GZOIZyuTM06u5/MzyJFAK0mAwnmxZjrLQYCiHhBtx37fBAon0/CKU&#10;B2TWQsQzwYxwDIebYPmfOZybOIVfNPWwPBtTbRabWXW3pyFXhE8VmGhyqqYlzSp9R4bC7c7HK6Aq&#10;XbPmNytDWjaXcdkDNfo+6Vsn/CXHVrI+65yakIazi0N/Pe7ji3iRKD5fj6T+nZC5KYX0RpZHPGGW&#10;nPQnB9als2Y3PMBF1WEpiTNAvnJLdAXUHpTtDQud+L1JDC0xvdlf+OHOrdF28HR5BkOgSLSsHpKH&#10;g0rBcT+Jn0FsQ4JyMDdFSZPrnEtU4dq9zw9dmhubFk0RGz6LNbQdNdu6nydcsk2HcYrkoOTgipMV&#10;4LtUye0oHTVCUH0cpVB0zdjfp5g0K3uf3T4IoErEbyVxLfuvgtIithUwtElDGTl3DZNUKK0eirOz&#10;NPgNUzswyq5f6vv0oUzDlz4WL3XthWz65RaWzFmAFxUArhXknVN6iRLLSQ2BpcBSTbtngsfDBBWQ&#10;HP5gjMrp57FyEYuMYgqUsNY5NGlGYHgQv/tC6uWZ+c3jUCVsTHqaRTe1sOx/U1qfTOOBlIkIZ+rR&#10;cgB01r10UAihZaNBQncMhStcreBHTiqpCVQ2ltkHrMRMQ8+kh1mOw3vJDQua0ao5Fhy2k4ZeSScZ&#10;6UlXsiGAHDpYc4QmyZBHDO+CHZkKF1ZaFPiubYnB2jOgJCw4TaWq6QJpfZw3ZgF6zotR2XP7tUK2&#10;yVYtA9mwqwJbhRSVKIOakmiMulx3AsGjipLWKWOZ0SEE1LS4s6qtQN/I2K0DJUMuiaH3iRWEmCmU&#10;dl33Pe5iarfeoCjgutEvJwp3GDZHHtVpDznE0bmjjGFjg94wyqwnDGkVmdYc9/aJ9+Ijf4PSixJ6&#10;Sox0UOnJEGS0fdK3JPnGQ6EVhTjjbg62GlGWpkQ4ANU4sQHFsuv67YRObcAzWsKFYdIpb+QhAZid&#10;3bnpWv4yApSHMwg3QE5AccRitfJ3n3s1RyZUXiykqGUIrInxryDW/XXp2BsMcb1TYE+D9+OACDPy&#10;PDSOzSyQIDRr0Lanlpsf/SI8wEOrPn9v5X5LS0MKJIciV2+p5BFZzMjzkRiVuZBxgHUkBzD5OL60&#10;DUIORbqXoNyXVWoKE/UhYEBdpLXYGX0HTfmTVLjDWMcnlHdyaKBGHcKoFstlQiZ9sCIlFwIC2E+0&#10;pn5aouJpHKu7dx8NK5b8m2KMu5CVihYjWe1rGcnCB8aPd5QrBxy+QfloesLhlFicVgmiWVGXXlJq&#10;e++u5a7HvYg97/OsykEzBhl4CxUukSYOkQRlDBmJ285lKkmG88pcJ3oAFyW3x127sp+nxxXe+1XW&#10;qg1PK/vRBfA+brxekmdzayrZjJbslS+IYPyNYOa0oZi7rLYpgdV2Xu0CpAUxw1YiCTQBWcCy6rW1&#10;aiv0AIQ0JaUD8cxhz8s/jBpUuDaa9AW947qgtcs+FEG+jcqfNMzt8tUsrUynnLRR4p3sylD74pS4&#10;oCQoB3HrMeL7WbCwKTSRVA4IHiQPV1CS2nste9BrOWIAoSulfNlKvAXDQe4gvN+vLuyqsjR5LgP9&#10;WzxpEiaFou+3+yeX3hAEYOe5oQTqF7tNG2pdfk0sEGaDhCDo/rSq5RM+fOpeJMzSW57HWtnIw84q&#10;pmOG703IfjZmyoityGvDuwqrVBSmt0Wq+ViaqyxRyRg72PNBSJN1AAaTIY1jasYbfAxtSFZITzp/&#10;DcZqepiqcH+Eg3SyXKtieLinlcgBBOtJAp63FijbcGsqn0YiKZoZ099c6/M26sW6IHsPD9VN1m6v&#10;bl8D11HnJp+Txm6xRVA+heiQeuaU2vPhBxudN0HzSGurw+6bCHgHMRj+qxU07Elf3Eu+VlIYiXne&#10;laEMb5cabSIUlIw5PuzeO4Y+x9+lDaUSTOm0wMy/FCfUFCeTuPHVg/ti/zJa6SzYcBI9wAhVYzvq&#10;shhh6ZAglVsREDrKUHn9aQ8lOGGp55f8BqQj3lGKwiUqgGXtkxr0ksqC/YWCU1rM4P4qYr1nQQPp&#10;uCWsZxB9t2FEPV/x3GAQLqqRtHDJwZlUDIpmuKnYwpVCCe1oy5igktuw5TihU/yX1lcxtye7Q6xc&#10;ncEwNIr0ReEqrjP+unVguQnYnhU56DYcDhSG9JRJLf7KzpCr0j3HnztxpD8Qa7rqg5I3TYYE7Eg2&#10;mlVETCjtwVgsOhCre0oozXvwvqWVJca28FTSjvfX4hFwzUjUzn0w7Zga5Ts2XC2NSwGHYmdt2GG2&#10;stAqfIChLZIFFbr6JN4BSkRZ68pxEgzfBnIv/WxGPt4DDxtSOk59CC4/apGDdLyuRPPUJ+ffgCjT&#10;SEULCSOGB9mViEVl7/hLYe3sKc3hbJ8EOwy+hzAubhC6aE4ezjbLvamzxxInk6FwWcMeDGWcImk1&#10;iUMu8ntYpTOGEaeaO2iBsoINLWq0I0FNlq3/pfQ4nCgOF4fZSngVMhAT5M8MAVTL8C6ROWsHDJJf&#10;syAFkJ0gkeZuw+/ug4zQKqkH+FRFS6st+13vg0nHsEWRKp37ZE9PYjhefudrIdwG7WeaxzXS/YlH&#10;dHqmgqdH04b1lHi27LsAXw4cO7Hxi2sQfYDKHnTWdCSmeULq9KhAqTyilWPS+ymqNOeHW+KQRMSZ&#10;P9rHB4YYu2x86IUxiFNdsrZRvEECHrJIkfC5Cyq+vRLYVU2Q+dwSUr0DMHmUGCWAYQV1/HXdXMXr&#10;6CEZhaoBj5nFOTq49hJJfLEJqNDcCX8scdCsstsIRcqW1Zxzibbkwnf8wcKYcMVpTfTtVGrxPcie&#10;e0sbvwf7CDYnHa6uVCw3w0THj2HNZt++lAqneql4JoUDefpD8OVuPHFL3bQ4BywWARdXaMeRpMVT&#10;kHz6YOsMCeKjO2dmlQmU2yr2sWpo8NDgxsu1/CCHLrpe5Lp7PlNVQ7dZeFnBL8Yqzb4SnxPmoMUR&#10;oJmUDDgP0s1ixUm4gaTkQ/SAFUpDB/jf9MO5cAIteMNQvzNYVtU8glEnsUQOR/K6Urmqtau9vJru&#10;VC09+dzbYnubsNC6PbBRJCOGmYTAEhQCLTkMRplT7Z/p0P0cmP9bQrc255uktI/11ABb2x5bKDPR&#10;xvjuhXFSmNrvtvwFefBILXtmRvehSgdT+W8u/85uBCLFmHcHxCt2D33BpMQTVoJ0Rx4mVy+MG5bA&#10;gQbXYPnvQh1Cjh+F+4FjdTpudb3hpqL1UKV7rT93IDNS+8IVXaX47wx7ST4DoTXpzosiDSb9SEdJ&#10;UizmShyWb7NRq3cJ9iq7Y6fgwAVvbIZIQNvwaLac6ISqg9YmyzWlwCHh3le9Vt3v1/bp6RwSpAmc&#10;zsMZzjLW4FMa7Y2vXNW6YOUhkRaXS5hBynuFEvF7PnyJ0DrA30CMM22Sm3HWvD0Kd5xZjPZZadQo&#10;h/OJja2hGFYo9GG1qdK6MmlNbl+EMESxFifPRa8kq15Hm/Li+RThTmxjLfSEi2xIEJ/hheTJC77Z&#10;aQ9SSObyEwsUjfEwhhPOF3dNW9YcIJWE0mgQiRlpX+I6Yo2Q2YzVhywTZo0+D0QehnwJabaQDS3F&#10;1CdrlTUha+Jf49b+pia+5mf+mgIHBT7cYY6ggvek732wHeX9rVpFxHyjBBqturc6bgbxUKIybO9M&#10;KJvXCEylCpN9HbeQdQ3ygWqjyBvxAi0k6vBJXUcXjrwXhHdJXHJBIwqakaCSe0fi1v2Lm/kic1WR&#10;AItuWOXpeJ/yLd0iAqz7tRDF7F2zg9okAVrhtEgnk/Bp08zHuxdyEQzgjNJaqvl+ZuPd8eL4tFi8&#10;wqNyMl7Xx0ML0mGa5eenWewEsRg8qcWxamYWRgJjSoAKNlS4m4EQ2G7MK5qPV5UAURm7sUISGPjZ&#10;uY61I5AKTSM1qt6jeb+RgJFADRKIslJ10XDRDCMBIwEjASOBhiQQUBiySzWLQcwwEjASMBIwEmhI&#10;AiSq0ZLehVu80ZBozGWNBIwEjATqlcAythciydDIpDD13o+5mpGAkYCRwCKWALDEFcrYF7EgzNSM&#10;BIwEjASMBIwEjASMBIwEjASMBIwEjASMBIwEjASMBIwEjASMBIwEjASMBIwEjASMBIwEjAQKJfBT&#10;W4sxi/KyjjI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NydHYcYAAAApAgAAGQAAAGRycy9fcmVscy9lMm9Eb2MueG1sLnJl&#10;bHO9kcFqAjEQhu9C3yHMvZvdFYqIWS8ieBX7AEMymw1uJiGJpb69gVKoIPXmcWb4v/+D2Wy//Sy+&#10;KGUXWEHXtCCIdTCOrYLP0/59BSIXZINzYFJwpQzb4W2xOdKMpYby5GIWlcJZwVRKXEuZ9UQecxMi&#10;cb2MIXksdUxWRtRntCT7tv2Q6S8DhjumOBgF6WCWIE7XWJufs8M4Ok27oC+euDyokM7X7grEZKko&#10;8GQc/iyXTWQL8rFD/xqH/j+H7jUO3a+DvHvw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A6cwAAW0NvbnRlbnRfVHlwZXNd&#10;LnhtbFBLAQIUAAoAAAAAAIdO4kAAAAAAAAAAAAAAAAAGAAAAAAAAAAAAEAAAAPdwAABfcmVscy9Q&#10;SwECFAAUAAAACACHTuJAihRmPNEAAACUAQAACwAAAAAAAAABACAAAAAbcQAAX3JlbHMvLnJlbHNQ&#10;SwECFAAKAAAAAACHTuJAAAAAAAAAAAAAAAAABAAAAAAAAAAAABAAAAAAAAAAZHJzL1BLAQIUAAoA&#10;AAAAAIdO4kAAAAAAAAAAAAAAAAAKAAAAAAAAAAAAEAAAABVyAABkcnMvX3JlbHMvUEsBAhQAFAAA&#10;AAgAh07iQDcnR2HGAAAAKQIAABkAAAAAAAAAAQAgAAAAPXIAAGRycy9fcmVscy9lMm9Eb2MueG1s&#10;LnJlbHNQSwECFAAUAAAACACHTuJA8ku3ldkAAAAIAQAADwAAAAAAAAABACAAAAAiAAAAZHJzL2Rv&#10;d25yZXYueG1sUEsBAhQAFAAAAAgAh07iQPF+DX/fAgAAFAoAAA4AAAAAAAAAAQAgAAAAKAEAAGRy&#10;cy9lMm9Eb2MueG1sUEsBAhQACgAAAAAAh07iQAAAAAAAAAAAAAAAAAoAAAAAAAAAAAAQAAAAMwQA&#10;AGRycy9tZWRpYS9QSwECFAAUAAAACACHTuJAk2xnypo9AACVPQAAFAAAAAAAAAABACAAAABwEAAA&#10;ZHJzL21lZGlhL2ltYWdlMS5wbmdQSwECFAAUAAAACACHTuJAyUMQ9IkiAACEIgAAFAAAAAAAAAAB&#10;ACAAAAA8TgAAZHJzL21lZGlhL2ltYWdlMi5wbmdQSwECFAAUAAAACACHTuJAsEKKB+MLAADeCwAA&#10;FAAAAAAAAAABACAAAABbBAAAZHJzL21lZGlhL2ltYWdlMy5wbmdQSwUGAAAAAAwADADWAgAAb3QA&#10;AAAA&#10;">
                <o:lock v:ext="edit" aspectratio="f"/>
                <v:shape id="图片 18" o:spid="_x0000_s1026" o:spt="75" type="#_x0000_t75" style="position:absolute;left:3059832;top:1050241;height:810002;width:673610;" filled="f" o:preferrelative="t" stroked="f" coordsize="21600,21600" o:gfxdata="UEsDBAoAAAAAAIdO4kAAAAAAAAAAAAAAAAAEAAAAZHJzL1BLAwQUAAAACACHTuJA3nuba70AAADd&#10;AAAADwAAAGRycy9kb3ducmV2LnhtbEVPS2sCMRC+C/6HMAUvUhNX0LI1erAViqX4aEuvw2bcLG4m&#10;yyZ17b9vBMHbfHzPmS8vrhZnakPlWcN4pEAQF95UXGr4+lw/PoEIEdlg7Zk0/FGA5aLfm2NufMd7&#10;Oh9iKVIIhxw12BibXMpQWHIYRr4hTtzRtw5jgm0pTYtdCne1zJSaSocVpwaLDa0sFafDr9MQXza7&#10;1+0H0RB/vrvs6FT2bk9aDx7G6hlEpEu8i2/uN5Pmq8kMr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e5trvQAA&#10;AN0AAAAPAAAAAAAAAAEAIAAAACIAAABkcnMvZG93bnJldi54bWxQSwECFAAUAAAACACHTuJAMy8F&#10;njsAAAA5AAAAEAAAAAAAAAABACAAAAAMAQAAZHJzL3NoYXBleG1sLnhtbFBLBQYAAAAABgAGAFsB&#10;AAC2AwAAAAA=&#10;">
                  <v:fill on="f" focussize="0,0"/>
                  <v:stroke on="f"/>
                  <v:imagedata r:id="rId9" o:title=""/>
                  <o:lock v:ext="edit" aspectratio="t"/>
                </v:shape>
                <v:shape id="图片 19" o:spid="_x0000_s1026" o:spt="75" type="#_x0000_t75" style="position:absolute;left:3730872;top:1050241;height:538792;width:2713336;" filled="f" o:preferrelative="t" stroked="f" coordsize="21600,21600" o:gfxdata="UEsDBAoAAAAAAIdO4kAAAAAAAAAAAAAAAAAEAAAAZHJzL1BLAwQUAAAACACHTuJADTR6pcAAAADd&#10;AAAADwAAAGRycy9kb3ducmV2LnhtbEWP3UrDQBCF7wXfYRnBm2J3o1BLzKagVBBRSlMfYMhOk9Ts&#10;bMhuf8zTOxeCdzOcM+d8U6wuvlcnGmMX2EI2N6CI6+A6bix87V7vlqBiQnbYByYLPxRhVV5fFZi7&#10;cOYtnarUKAnhmKOFNqUh1zrWLXmM8zAQi7YPo8ck69hoN+JZwn2v741ZaI8dS0OLA720VH9XR29h&#10;t6Tp8TNzz/x+3IR1dZhmH+vJ2tubzDyBSnRJ/+a/6zcn+OZBcOUbGUG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NHql&#10;wAAAAN0AAAAPAAAAAAAAAAEAIAAAACIAAABkcnMvZG93bnJldi54bWxQSwECFAAUAAAACACHTuJA&#10;My8FnjsAAAA5AAAAEAAAAAAAAAABACAAAAAPAQAAZHJzL3NoYXBleG1sLnhtbFBLBQYAAAAABgAG&#10;AFsBAAC5AwAAAAA=&#10;">
                  <v:fill on="f" focussize="0,0"/>
                  <v:stroke on="f"/>
                  <v:imagedata r:id="rId10" o:title=""/>
                  <o:lock v:ext="edit" aspectratio="t"/>
                </v:shape>
                <v:shape id="图片 20" o:spid="_x0000_s1026" o:spt="75" type="#_x0000_t75" style="position:absolute;left:3733442;top:1438169;height:422074;width:2710766;" filled="f" o:preferrelative="t" stroked="f" coordsize="21600,21600" o:gfxdata="UEsDBAoAAAAAAIdO4kAAAAAAAAAAAAAAAAAEAAAAZHJzL1BLAwQUAAAACACHTuJAELesFb4AAADd&#10;AAAADwAAAGRycy9kb3ducmV2LnhtbEVPTWsCMRC9F/wPYYReiiZbadHVKLKl0INQakU8jpvp7tbN&#10;ZElSV/+9KRR6m8f7nMXqYltxJh8axxqysQJBXDrTcKVh9/k6moIIEdlg65g0XCnAajm4W2BuXM8f&#10;dN7GSqQQDjlqqGPscilDWZPFMHYdceK+nLcYE/SVNB77FG5b+ajUs7TYcGqosaOipvK0/bEajH/K&#10;XnwxK767/mHzfjzsQ7vea30/zNQcRKRL/Bf/ud9Mmq8mM/j9Jp0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esFb4A&#10;AADdAAAADwAAAAAAAAABACAAAAAiAAAAZHJzL2Rvd25yZXYueG1sUEsBAhQAFAAAAAgAh07iQDMv&#10;BZ47AAAAOQAAABAAAAAAAAAAAQAgAAAADQEAAGRycy9zaGFwZXhtbC54bWxQSwUGAAAAAAYABgBb&#10;AQAAtwMAAAAA&#10;">
                  <v:fill on="f" focussize="0,0"/>
                  <v:stroke on="f"/>
                  <v:imagedata r:id="rId11" o:title=""/>
                  <o:lock v:ext="edit" aspectratio="t"/>
                </v:shape>
              </v:group>
            </w:pict>
          </mc:Fallback>
        </mc:AlternateContent>
      </w:r>
    </w:p>
    <w:p w14:paraId="33074914">
      <w:pPr>
        <w:pStyle w:val="36"/>
        <w:ind w:firstLine="0"/>
        <w:jc w:val="center"/>
        <w:rPr>
          <w:rFonts w:eastAsia="黑体"/>
          <w:b/>
          <w:bCs/>
          <w:color w:val="auto"/>
          <w:sz w:val="84"/>
          <w:highlight w:val="none"/>
        </w:rPr>
      </w:pPr>
    </w:p>
    <w:p w14:paraId="33074915">
      <w:pPr>
        <w:pStyle w:val="36"/>
        <w:ind w:firstLine="0"/>
        <w:jc w:val="center"/>
        <w:rPr>
          <w:rFonts w:ascii="微软雅黑" w:hAnsi="微软雅黑" w:eastAsia="微软雅黑" w:cs="微软雅黑"/>
          <w:b/>
          <w:bCs/>
          <w:color w:val="auto"/>
          <w:sz w:val="84"/>
          <w:highlight w:val="none"/>
        </w:rPr>
      </w:pPr>
      <w:r>
        <w:rPr>
          <w:rFonts w:hint="eastAsia" w:ascii="微软雅黑" w:hAnsi="微软雅黑" w:eastAsia="微软雅黑" w:cs="微软雅黑"/>
          <w:b/>
          <w:bCs/>
          <w:color w:val="auto"/>
          <w:sz w:val="96"/>
          <w:szCs w:val="28"/>
          <w:highlight w:val="none"/>
        </w:rPr>
        <w:t>招　标　文　件</w:t>
      </w:r>
    </w:p>
    <w:p w14:paraId="33074916">
      <w:pPr>
        <w:pStyle w:val="36"/>
        <w:ind w:firstLine="2401" w:firstLineChars="750"/>
        <w:rPr>
          <w:rFonts w:ascii="微软雅黑" w:hAnsi="微软雅黑" w:eastAsia="微软雅黑" w:cs="微软雅黑"/>
          <w:b/>
          <w:bCs/>
          <w:color w:val="auto"/>
          <w:sz w:val="32"/>
          <w:highlight w:val="none"/>
        </w:rPr>
      </w:pPr>
    </w:p>
    <w:p w14:paraId="33074917">
      <w:pPr>
        <w:pStyle w:val="36"/>
        <w:rPr>
          <w:rFonts w:ascii="微软雅黑" w:hAnsi="微软雅黑" w:eastAsia="微软雅黑" w:cs="微软雅黑"/>
          <w:b/>
          <w:bCs/>
          <w:color w:val="auto"/>
          <w:sz w:val="32"/>
          <w:highlight w:val="none"/>
        </w:rPr>
      </w:pPr>
    </w:p>
    <w:p w14:paraId="33074918">
      <w:pPr>
        <w:pStyle w:val="36"/>
        <w:rPr>
          <w:rFonts w:ascii="微软雅黑" w:hAnsi="微软雅黑" w:eastAsia="微软雅黑" w:cs="微软雅黑"/>
          <w:b/>
          <w:bCs/>
          <w:color w:val="auto"/>
          <w:sz w:val="32"/>
          <w:highlight w:val="none"/>
          <w:u w:val="thick"/>
        </w:rPr>
      </w:pPr>
      <w:r>
        <w:rPr>
          <w:color w:val="auto"/>
          <w:sz w:val="32"/>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255270</wp:posOffset>
                </wp:positionV>
                <wp:extent cx="3460750" cy="635"/>
                <wp:effectExtent l="0" t="0" r="0" b="0"/>
                <wp:wrapNone/>
                <wp:docPr id="1" name="直线 6"/>
                <wp:cNvGraphicFramePr/>
                <a:graphic xmlns:a="http://schemas.openxmlformats.org/drawingml/2006/main">
                  <a:graphicData uri="http://schemas.microsoft.com/office/word/2010/wordprocessingShape">
                    <wps:wsp>
                      <wps:cNvCnPr/>
                      <wps:spPr>
                        <a:xfrm>
                          <a:off x="0" y="0"/>
                          <a:ext cx="3460750" cy="63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6" o:spid="_x0000_s1026" o:spt="20" style="position:absolute;left:0pt;margin-left:115.5pt;margin-top:20.1pt;height:0.05pt;width:272.5pt;z-index:251660288;mso-width-relative:page;mso-height-relative:page;" filled="f" stroked="t" coordsize="21600,21600" o:gfxdata="UEsDBAoAAAAAAIdO4kAAAAAAAAAAAAAAAAAEAAAAZHJzL1BLAwQUAAAACACHTuJA2x/gsdgAAAAJ&#10;AQAADwAAAGRycy9kb3ducmV2LnhtbE2PzU7DMBCE70i8g7VI3KiTFDVRiNMDqKpAXNoicd3G2zgl&#10;ttPY/eHt2Z7KcWdHM99U84vtxYnG0HmnIJ0kIMg1XneuVfC1WTwVIEJEp7H3jhT8UoB5fX9XYan9&#10;2a3otI6t4BAXSlRgYhxKKUNjyGKY+IEc/3Z+tBj5HFupRzxzuO1lliQzabFz3GBwoFdDzc/6aBXg&#10;23IVv4vsI+/ezed+szgsTXFQ6vEhTV5ARLrEmxmu+IwONTNt/dHpIHoF2TTlLVHBc5KBYEOez1jY&#10;XoUpyLqS/xfUf1BLAwQUAAAACACHTuJA3wME5uABAADSAwAADgAAAGRycy9lMm9Eb2MueG1srVNL&#10;btswEN0X6B0I7mspTuMUguUs4qabojXQ9ABjkrII8AcOY9ln6TW66qbHyTU6pFSnSTZeVAtqOJx5&#10;nPdmuLw5WMP2KqL2ruUXs5oz5YSX2u1a/v3+7t0HzjCBk2C8Uy0/KuQ3q7dvlkNo1Nz33kgVGYE4&#10;bIbQ8j6l0FQVil5ZwJkPytFh56OFRNu4q2SEgdCtqeZ1vagGH2WIXihE8q7HQz4hxnMAfddpodZe&#10;PFjl0ogalYFElLDXAfmqVNt1SqSvXYcqMdNyYprKSpeQvc1rtVpCs4sQei2mEuCcEl5wsqAdXXqC&#10;WkMC9hD1KyirRfTouzQT3lYjkaIIsbioX2jzrYegCheSGsNJdPx/sOLLfhOZljQJnDmw1PDHHz8f&#10;f/1mi6zNELChkFu3idMOwyZmoocu2vwnCuxQ9Dye9FSHxAQ5L98v6usrklrQ2eLyKiNWT6khYvqk&#10;vGXZaLnRLpOFBvafMY2hf0Oy2zg2UJnz6zojAo1eRy0n0wYqH92uJKM3Wt5pY3IKxt321kS2h9z+&#10;8k01PAvLt6wB+zGuHOUwaHoF8qOTLB0DCePoPfBcg1WSM6Po+WSrRCbQ5pxIom8cqZCFHaXM1tbL&#10;Y1G4+KnVRadpLPMs/bsv2U9Pc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x/gsdgAAAAJAQAA&#10;DwAAAAAAAAABACAAAAAiAAAAZHJzL2Rvd25yZXYueG1sUEsBAhQAFAAAAAgAh07iQN8DBObgAQAA&#10;0gMAAA4AAAAAAAAAAQAgAAAAJwEAAGRycy9lMm9Eb2MueG1sUEsFBgAAAAAGAAYAWQEAAHkFAAAA&#10;AA==&#10;">
                <v:fill on="f" focussize="0,0"/>
                <v:stroke weight="1pt" color="#000000" joinstyle="round"/>
                <v:imagedata o:title=""/>
                <o:lock v:ext="edit" aspectratio="f"/>
              </v:line>
            </w:pict>
          </mc:Fallback>
        </mc:AlternateContent>
      </w:r>
      <w:r>
        <w:rPr>
          <w:rFonts w:hint="eastAsia" w:ascii="微软雅黑" w:hAnsi="微软雅黑" w:eastAsia="微软雅黑" w:cs="微软雅黑"/>
          <w:b/>
          <w:bCs/>
          <w:color w:val="auto"/>
          <w:sz w:val="32"/>
          <w:highlight w:val="none"/>
        </w:rPr>
        <w:t>项目名称：   南京医科大学纯水仪采购项目</w:t>
      </w:r>
      <w:r>
        <w:rPr>
          <w:rFonts w:hint="eastAsia" w:ascii="微软雅黑" w:hAnsi="微软雅黑" w:eastAsia="微软雅黑" w:cs="微软雅黑"/>
          <w:b/>
          <w:bCs/>
          <w:color w:val="auto"/>
          <w:sz w:val="32"/>
          <w:highlight w:val="none"/>
          <w:u w:val="thick"/>
        </w:rPr>
        <w:t xml:space="preserve">                      </w:t>
      </w:r>
    </w:p>
    <w:p w14:paraId="33074919">
      <w:pPr>
        <w:pStyle w:val="36"/>
        <w:rPr>
          <w:rFonts w:ascii="微软雅黑" w:hAnsi="微软雅黑" w:eastAsia="微软雅黑" w:cs="微软雅黑"/>
          <w:b/>
          <w:bCs/>
          <w:color w:val="auto"/>
          <w:sz w:val="13"/>
          <w:szCs w:val="10"/>
          <w:highlight w:val="none"/>
          <w:u w:val="thick"/>
        </w:rPr>
      </w:pPr>
    </w:p>
    <w:p w14:paraId="3307491A">
      <w:pPr>
        <w:pStyle w:val="36"/>
        <w:ind w:firstLine="0"/>
        <w:rPr>
          <w:rFonts w:ascii="微软雅黑" w:hAnsi="微软雅黑" w:eastAsia="微软雅黑" w:cs="微软雅黑"/>
          <w:b/>
          <w:bCs/>
          <w:color w:val="auto"/>
          <w:sz w:val="32"/>
          <w:highlight w:val="none"/>
        </w:rPr>
      </w:pPr>
      <w:r>
        <w:rPr>
          <w:color w:val="auto"/>
          <w:sz w:val="32"/>
          <w:highlight w:val="none"/>
        </w:rPr>
        <mc:AlternateContent>
          <mc:Choice Requires="wps">
            <w:drawing>
              <wp:anchor distT="0" distB="0" distL="114300" distR="114300" simplePos="0" relativeHeight="251661312" behindDoc="0" locked="0" layoutInCell="1" allowOverlap="1">
                <wp:simplePos x="0" y="0"/>
                <wp:positionH relativeFrom="column">
                  <wp:posOffset>1437005</wp:posOffset>
                </wp:positionH>
                <wp:positionV relativeFrom="paragraph">
                  <wp:posOffset>303530</wp:posOffset>
                </wp:positionV>
                <wp:extent cx="3460750" cy="635"/>
                <wp:effectExtent l="0" t="0" r="0" b="0"/>
                <wp:wrapNone/>
                <wp:docPr id="2" name="直线 7"/>
                <wp:cNvGraphicFramePr/>
                <a:graphic xmlns:a="http://schemas.openxmlformats.org/drawingml/2006/main">
                  <a:graphicData uri="http://schemas.microsoft.com/office/word/2010/wordprocessingShape">
                    <wps:wsp>
                      <wps:cNvCnPr/>
                      <wps:spPr>
                        <a:xfrm>
                          <a:off x="0" y="0"/>
                          <a:ext cx="3460750" cy="63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7" o:spid="_x0000_s1026" o:spt="20" style="position:absolute;left:0pt;margin-left:113.15pt;margin-top:23.9pt;height:0.05pt;width:272.5pt;z-index:251661312;mso-width-relative:page;mso-height-relative:page;" filled="f" stroked="t" coordsize="21600,21600" o:gfxdata="UEsDBAoAAAAAAIdO4kAAAAAAAAAAAAAAAAAEAAAAZHJzL1BLAwQUAAAACACHTuJAZQ2f8tcAAAAJ&#10;AQAADwAAAGRycy9kb3ducmV2LnhtbE2Py07DMBBF90j8gzVI7KiTgJqQxukCVFUgNm2R2E5jNw7E&#10;4zR2H/w901VZzp2j+6jmZ9eLoxlD50lBOklAGGq87qhV8LlZPBQgQkTS2HsyCn5NgHl9e1Nhqf2J&#10;Vua4jq1gEwolKrAxDqWUobHGYZj4wRD/dn50GPkcW6lHPLG562WWJFPpsCNOsDiYF2uan/XBKcDX&#10;5Sp+Fdl73r3Zj+/NYr+0xV6p+7s0mYGI5hyvMFzqc3WoudPWH0gH0SvIsukjowqecp7AQJ6nLGwv&#10;wjPIupL/F9R/UEsDBBQAAAAIAIdO4kB5fHw74AEAANIDAAAOAAAAZHJzL2Uyb0RvYy54bWytU82O&#10;0zAQviPxDpbvNNku26Ko6R62LBcElVgeYGo7jSX/yeNt2mfhNThx4XH2NRg7oQvLpQdycMbjmc/z&#10;fTNe3R6tYQcVUXvX8qtZzZlywkvt9i3/+nD/5h1nmMBJMN6plp8U8tv161erITRq7ntvpIqMQBw2&#10;Q2h5n1JoqgpFryzgzAfl6LDz0UKibdxXMsJA6NZU87peVIOPMkQvFCJ5N+MhnxDjJYC+67RQGy8e&#10;rXJpRI3KQCJK2OuAfF2q7Tol0ueuQ5WYaTkxTWWlS8je5bVar6DZRwi9FlMJcEkJLzhZ0I4uPUNt&#10;IAF7jPofKKtF9Oi7NBPeViORogixuKpfaPOlh6AKF5Iaw1l0/H+w4tNhG5mWLZ9z5sBSw5++fX/6&#10;8ZMtszZDwIZC7tw2TjsM25iJHrto858osGPR83TWUx0TE+S8fruolzcktaCzxfVNRqyeU0PE9EF5&#10;y7LRcqNdJgsNHD5iGkN/h2S3cWyggZ0v64wINHodtZxMG6h8dPuSjN5oea+NySkY97s7E9kBcvvL&#10;N9XwV1i+ZQPYj3HlKIdB0yuQ751k6RRIGEfvgecarJKcGUXPJ1slMoE2l0QSfeNIhSzsKGW2dl6e&#10;isLFT60uOk1jmWfpz33Jfn6K6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lDZ/y1wAAAAkBAAAP&#10;AAAAAAAAAAEAIAAAACIAAABkcnMvZG93bnJldi54bWxQSwECFAAUAAAACACHTuJAeXx8O+ABAADS&#10;AwAADgAAAAAAAAABACAAAAAmAQAAZHJzL2Uyb0RvYy54bWxQSwUGAAAAAAYABgBZAQAAeAUAAAAA&#10;">
                <v:fill on="f" focussize="0,0"/>
                <v:stroke weight="1pt" color="#000000" joinstyle="round"/>
                <v:imagedata o:title=""/>
                <o:lock v:ext="edit" aspectratio="f"/>
              </v:line>
            </w:pict>
          </mc:Fallback>
        </mc:AlternateContent>
      </w:r>
      <w:r>
        <w:rPr>
          <w:rFonts w:hint="eastAsia" w:ascii="微软雅黑" w:hAnsi="微软雅黑" w:eastAsia="微软雅黑" w:cs="微软雅黑"/>
          <w:b/>
          <w:bCs/>
          <w:color w:val="auto"/>
          <w:sz w:val="32"/>
          <w:highlight w:val="none"/>
        </w:rPr>
        <w:t xml:space="preserve">     项目编号：NJMUZB30120260636</w:t>
      </w:r>
    </w:p>
    <w:p w14:paraId="3307491B">
      <w:pPr>
        <w:pStyle w:val="36"/>
        <w:spacing w:before="0" w:after="0"/>
        <w:ind w:firstLine="0"/>
        <w:rPr>
          <w:rFonts w:ascii="宋体" w:hAnsi="宋体"/>
          <w:color w:val="auto"/>
          <w:highlight w:val="none"/>
        </w:rPr>
      </w:pPr>
    </w:p>
    <w:p w14:paraId="3307491C">
      <w:pPr>
        <w:pStyle w:val="36"/>
        <w:spacing w:before="0" w:after="0"/>
        <w:ind w:firstLine="0"/>
        <w:rPr>
          <w:rFonts w:ascii="宋体" w:hAnsi="宋体"/>
          <w:color w:val="auto"/>
          <w:highlight w:val="none"/>
        </w:rPr>
      </w:pPr>
    </w:p>
    <w:p w14:paraId="3307491D">
      <w:pPr>
        <w:pStyle w:val="36"/>
        <w:spacing w:before="0" w:after="0"/>
        <w:ind w:firstLine="0"/>
        <w:rPr>
          <w:rFonts w:ascii="宋体" w:hAnsi="宋体"/>
          <w:color w:val="auto"/>
          <w:highlight w:val="none"/>
        </w:rPr>
      </w:pPr>
    </w:p>
    <w:p w14:paraId="3307491E">
      <w:pPr>
        <w:pStyle w:val="36"/>
        <w:spacing w:before="0" w:after="0"/>
        <w:ind w:firstLine="0"/>
        <w:rPr>
          <w:rFonts w:ascii="宋体" w:hAnsi="宋体"/>
          <w:color w:val="auto"/>
          <w:highlight w:val="none"/>
        </w:rPr>
      </w:pPr>
    </w:p>
    <w:p w14:paraId="3307491F">
      <w:pPr>
        <w:pStyle w:val="36"/>
        <w:ind w:firstLine="0"/>
        <w:jc w:val="center"/>
        <w:rPr>
          <w:rFonts w:ascii="微软雅黑" w:hAnsi="微软雅黑" w:eastAsia="微软雅黑" w:cs="微软雅黑"/>
          <w:b/>
          <w:bCs/>
          <w:color w:val="auto"/>
          <w:sz w:val="32"/>
          <w:highlight w:val="none"/>
        </w:rPr>
      </w:pPr>
      <w:r>
        <w:rPr>
          <w:rFonts w:hint="eastAsia" w:ascii="微软雅黑" w:hAnsi="微软雅黑" w:eastAsia="微软雅黑" w:cs="微软雅黑"/>
          <w:b/>
          <w:bCs/>
          <w:color w:val="auto"/>
          <w:sz w:val="32"/>
          <w:highlight w:val="none"/>
        </w:rPr>
        <w:t>2026年</w:t>
      </w:r>
      <w:r>
        <w:rPr>
          <w:rFonts w:hint="eastAsia" w:ascii="微软雅黑" w:hAnsi="微软雅黑" w:eastAsia="微软雅黑" w:cs="微软雅黑"/>
          <w:b/>
          <w:bCs/>
          <w:color w:val="auto"/>
          <w:sz w:val="32"/>
          <w:highlight w:val="none"/>
          <w:lang w:val="en-US" w:eastAsia="zh-CN"/>
        </w:rPr>
        <w:t>7</w:t>
      </w:r>
      <w:r>
        <w:rPr>
          <w:rFonts w:hint="eastAsia" w:ascii="微软雅黑" w:hAnsi="微软雅黑" w:eastAsia="微软雅黑" w:cs="微软雅黑"/>
          <w:b/>
          <w:bCs/>
          <w:color w:val="auto"/>
          <w:sz w:val="32"/>
          <w:highlight w:val="none"/>
        </w:rPr>
        <w:t>月</w:t>
      </w:r>
    </w:p>
    <w:p w14:paraId="33074920">
      <w:pPr>
        <w:pStyle w:val="36"/>
        <w:ind w:firstLine="0"/>
        <w:jc w:val="center"/>
        <w:rPr>
          <w:rFonts w:ascii="微软雅黑" w:hAnsi="微软雅黑" w:eastAsia="微软雅黑" w:cs="微软雅黑"/>
          <w:b/>
          <w:bCs/>
          <w:color w:val="auto"/>
          <w:sz w:val="32"/>
          <w:highlight w:val="none"/>
        </w:rPr>
      </w:pPr>
    </w:p>
    <w:p w14:paraId="33074921">
      <w:pPr>
        <w:pStyle w:val="36"/>
        <w:ind w:firstLine="0"/>
        <w:jc w:val="center"/>
        <w:rPr>
          <w:rFonts w:eastAsia="黑体"/>
          <w:b/>
          <w:bCs/>
          <w:color w:val="auto"/>
          <w:sz w:val="32"/>
          <w:highlight w:val="none"/>
        </w:rPr>
      </w:pPr>
      <w:bookmarkStart w:id="0" w:name="_Toc517190880"/>
      <w:bookmarkStart w:id="1" w:name="_Toc120614210"/>
      <w:bookmarkStart w:id="2" w:name="_Toc20823272"/>
      <w:bookmarkStart w:id="3" w:name="_Toc523127445"/>
      <w:bookmarkStart w:id="4" w:name="_Toc479757206"/>
      <w:bookmarkStart w:id="5" w:name="_Toc16938516"/>
      <w:bookmarkStart w:id="6" w:name="_Toc513029200"/>
      <w:r>
        <w:rPr>
          <w:rFonts w:hint="eastAsia" w:ascii="黑体" w:hAnsi="黑体" w:eastAsia="黑体"/>
          <w:b/>
          <w:color w:val="auto"/>
          <w:sz w:val="44"/>
          <w:szCs w:val="28"/>
          <w:highlight w:val="none"/>
        </w:rPr>
        <w:t>目  录</w:t>
      </w:r>
      <w:bookmarkEnd w:id="0"/>
    </w:p>
    <w:p w14:paraId="33074922">
      <w:pPr>
        <w:pStyle w:val="18"/>
        <w:tabs>
          <w:tab w:val="right" w:leader="dot" w:pos="8306"/>
        </w:tabs>
        <w:rPr>
          <w:rFonts w:ascii="宋体" w:hAnsi="宋体" w:cs="宋体"/>
          <w:color w:val="auto"/>
          <w:sz w:val="24"/>
          <w:szCs w:val="24"/>
          <w:highlight w:val="none"/>
        </w:rPr>
      </w:pPr>
      <w:r>
        <w:rPr>
          <w:rFonts w:asciiTheme="minorEastAsia" w:hAnsiTheme="minorEastAsia" w:eastAsiaTheme="minorEastAsia"/>
          <w:b w:val="0"/>
          <w:color w:val="auto"/>
          <w:sz w:val="40"/>
          <w:szCs w:val="28"/>
          <w:highlight w:val="none"/>
        </w:rPr>
        <w:fldChar w:fldCharType="begin"/>
      </w:r>
      <w:r>
        <w:rPr>
          <w:rFonts w:asciiTheme="minorEastAsia" w:hAnsiTheme="minorEastAsia" w:eastAsiaTheme="minorEastAsia"/>
          <w:b w:val="0"/>
          <w:color w:val="auto"/>
          <w:sz w:val="40"/>
          <w:szCs w:val="28"/>
          <w:highlight w:val="none"/>
        </w:rPr>
        <w:instrText xml:space="preserve"> TOC \o "1-3" \h \z \u </w:instrText>
      </w:r>
      <w:r>
        <w:rPr>
          <w:rFonts w:asciiTheme="minorEastAsia" w:hAnsiTheme="minorEastAsia" w:eastAsiaTheme="minorEastAsia"/>
          <w:b w:val="0"/>
          <w:color w:val="auto"/>
          <w:sz w:val="40"/>
          <w:szCs w:val="28"/>
          <w:highlight w:val="none"/>
        </w:rPr>
        <w:fldChar w:fldCharType="separate"/>
      </w:r>
      <w:r>
        <w:rPr>
          <w:color w:val="auto"/>
          <w:highlight w:val="none"/>
        </w:rPr>
        <w:fldChar w:fldCharType="begin"/>
      </w:r>
      <w:r>
        <w:rPr>
          <w:color w:val="auto"/>
          <w:highlight w:val="none"/>
        </w:rPr>
        <w:instrText xml:space="preserve"> HYPERLINK \l "_Toc19097" </w:instrText>
      </w:r>
      <w:r>
        <w:rPr>
          <w:color w:val="auto"/>
          <w:highlight w:val="none"/>
        </w:rPr>
        <w:fldChar w:fldCharType="separate"/>
      </w:r>
      <w:r>
        <w:rPr>
          <w:rFonts w:hint="eastAsia" w:ascii="宋体" w:hAnsi="宋体" w:cs="宋体"/>
          <w:color w:val="auto"/>
          <w:sz w:val="24"/>
          <w:szCs w:val="24"/>
          <w:highlight w:val="none"/>
        </w:rPr>
        <w:t>第一章  招标公告</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_Toc19097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3074923">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"_Toc28299" </w:instrText>
      </w:r>
      <w:r>
        <w:rPr>
          <w:color w:val="auto"/>
          <w:highlight w:val="none"/>
        </w:rPr>
        <w:fldChar w:fldCharType="separate"/>
      </w:r>
      <w:r>
        <w:rPr>
          <w:rFonts w:hint="eastAsia" w:ascii="宋体" w:hAnsi="宋体" w:cs="宋体"/>
          <w:color w:val="auto"/>
          <w:sz w:val="24"/>
          <w:szCs w:val="24"/>
          <w:highlight w:val="none"/>
        </w:rPr>
        <w:t>第二章  投标人须知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_Toc28299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3074924">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"_Toc23761" </w:instrText>
      </w:r>
      <w:r>
        <w:rPr>
          <w:color w:val="auto"/>
          <w:highlight w:val="none"/>
        </w:rPr>
        <w:fldChar w:fldCharType="separate"/>
      </w:r>
      <w:r>
        <w:rPr>
          <w:rFonts w:hint="eastAsia" w:ascii="宋体" w:hAnsi="宋体" w:cs="宋体"/>
          <w:color w:val="auto"/>
          <w:sz w:val="24"/>
          <w:szCs w:val="24"/>
          <w:highlight w:val="none"/>
        </w:rPr>
        <w:t>第三章  项目需求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_Toc23761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3074925">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"_Toc23581" </w:instrText>
      </w:r>
      <w:r>
        <w:rPr>
          <w:color w:val="auto"/>
          <w:highlight w:val="none"/>
        </w:rPr>
        <w:fldChar w:fldCharType="separate"/>
      </w:r>
      <w:r>
        <w:rPr>
          <w:rFonts w:hint="eastAsia" w:ascii="宋体" w:hAnsi="宋体" w:cs="宋体"/>
          <w:color w:val="auto"/>
          <w:sz w:val="24"/>
          <w:szCs w:val="24"/>
          <w:highlight w:val="none"/>
        </w:rPr>
        <w:t>第四章  评标方法与评标标准</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_Toc23581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3074926">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"_Toc13969" </w:instrText>
      </w:r>
      <w:r>
        <w:rPr>
          <w:color w:val="auto"/>
          <w:highlight w:val="none"/>
        </w:rPr>
        <w:fldChar w:fldCharType="separate"/>
      </w:r>
      <w:r>
        <w:rPr>
          <w:rFonts w:hint="eastAsia" w:ascii="宋体" w:hAnsi="宋体" w:cs="宋体"/>
          <w:color w:val="auto"/>
          <w:sz w:val="24"/>
          <w:szCs w:val="24"/>
          <w:highlight w:val="none"/>
        </w:rPr>
        <w:t>第五章  拟签订的合同文本</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_Toc13969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3074927">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"_Toc14881" </w:instrText>
      </w:r>
      <w:r>
        <w:rPr>
          <w:color w:val="auto"/>
          <w:highlight w:val="none"/>
        </w:rPr>
        <w:fldChar w:fldCharType="separate"/>
      </w:r>
      <w:r>
        <w:rPr>
          <w:rFonts w:hint="eastAsia" w:ascii="宋体" w:hAnsi="宋体" w:cs="宋体"/>
          <w:color w:val="auto"/>
          <w:kern w:val="0"/>
          <w:sz w:val="24"/>
          <w:szCs w:val="24"/>
          <w:highlight w:val="none"/>
        </w:rPr>
        <w:t>第六章  投标文件格式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_Toc14881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3074928">
      <w:pPr>
        <w:spacing w:line="360" w:lineRule="auto"/>
        <w:jc w:val="center"/>
        <w:outlineLvl w:val="0"/>
        <w:rPr>
          <w:rFonts w:ascii="黑体" w:hAnsi="Arial" w:eastAsia="黑体"/>
          <w:b/>
          <w:color w:val="auto"/>
          <w:sz w:val="44"/>
          <w:highlight w:val="none"/>
        </w:rPr>
      </w:pPr>
      <w:r>
        <w:rPr>
          <w:rFonts w:asciiTheme="minorEastAsia" w:hAnsiTheme="minorEastAsia" w:eastAsiaTheme="minorEastAsia"/>
          <w:color w:val="auto"/>
          <w:szCs w:val="28"/>
          <w:highlight w:val="none"/>
        </w:rPr>
        <w:fldChar w:fldCharType="end"/>
      </w:r>
    </w:p>
    <w:p w14:paraId="33074929">
      <w:pPr>
        <w:spacing w:line="480" w:lineRule="auto"/>
        <w:rPr>
          <w:rFonts w:ascii="仿宋_GB2312" w:hAnsi="Arial" w:eastAsia="仿宋_GB2312"/>
          <w:b/>
          <w:color w:val="auto"/>
          <w:sz w:val="28"/>
          <w:highlight w:val="none"/>
        </w:rPr>
      </w:pPr>
    </w:p>
    <w:p w14:paraId="3307492A">
      <w:pPr>
        <w:rPr>
          <w:color w:val="auto"/>
          <w:highlight w:val="none"/>
        </w:rPr>
      </w:pPr>
    </w:p>
    <w:p w14:paraId="3307492B">
      <w:pPr>
        <w:rPr>
          <w:color w:val="auto"/>
          <w:highlight w:val="none"/>
        </w:rPr>
      </w:pPr>
    </w:p>
    <w:p w14:paraId="3307492C">
      <w:pPr>
        <w:rPr>
          <w:color w:val="auto"/>
          <w:highlight w:val="none"/>
        </w:rPr>
      </w:pPr>
    </w:p>
    <w:p w14:paraId="3307492D">
      <w:pPr>
        <w:rPr>
          <w:color w:val="auto"/>
          <w:highlight w:val="none"/>
        </w:rPr>
      </w:pPr>
    </w:p>
    <w:p w14:paraId="3307492E">
      <w:pPr>
        <w:rPr>
          <w:color w:val="auto"/>
          <w:highlight w:val="none"/>
        </w:rPr>
      </w:pPr>
    </w:p>
    <w:p w14:paraId="3307492F">
      <w:pPr>
        <w:rPr>
          <w:color w:val="auto"/>
          <w:highlight w:val="none"/>
        </w:rPr>
      </w:pPr>
    </w:p>
    <w:p w14:paraId="33074930">
      <w:pPr>
        <w:rPr>
          <w:color w:val="auto"/>
          <w:highlight w:val="none"/>
        </w:rPr>
      </w:pPr>
    </w:p>
    <w:p w14:paraId="33074931">
      <w:pPr>
        <w:rPr>
          <w:color w:val="auto"/>
          <w:highlight w:val="none"/>
        </w:rPr>
      </w:pPr>
    </w:p>
    <w:p w14:paraId="33074932">
      <w:pPr>
        <w:rPr>
          <w:color w:val="auto"/>
          <w:highlight w:val="none"/>
        </w:rPr>
      </w:pPr>
    </w:p>
    <w:p w14:paraId="33074933">
      <w:pPr>
        <w:rPr>
          <w:color w:val="auto"/>
          <w:highlight w:val="none"/>
        </w:rPr>
      </w:pPr>
    </w:p>
    <w:p w14:paraId="33074934">
      <w:pPr>
        <w:rPr>
          <w:color w:val="auto"/>
          <w:highlight w:val="none"/>
        </w:rPr>
      </w:pPr>
    </w:p>
    <w:p w14:paraId="33074935">
      <w:pPr>
        <w:rPr>
          <w:color w:val="auto"/>
          <w:highlight w:val="none"/>
        </w:rPr>
      </w:pPr>
    </w:p>
    <w:p w14:paraId="33074936">
      <w:pPr>
        <w:rPr>
          <w:color w:val="auto"/>
          <w:highlight w:val="none"/>
        </w:rPr>
      </w:pPr>
    </w:p>
    <w:p w14:paraId="33074937">
      <w:pPr>
        <w:rPr>
          <w:color w:val="auto"/>
          <w:highlight w:val="none"/>
        </w:rPr>
      </w:pPr>
    </w:p>
    <w:p w14:paraId="33074938">
      <w:pPr>
        <w:rPr>
          <w:color w:val="auto"/>
          <w:highlight w:val="none"/>
        </w:rPr>
      </w:pPr>
    </w:p>
    <w:p w14:paraId="33074939">
      <w:pPr>
        <w:rPr>
          <w:color w:val="auto"/>
          <w:highlight w:val="none"/>
        </w:rPr>
      </w:pPr>
    </w:p>
    <w:bookmarkEnd w:id="1"/>
    <w:p w14:paraId="3307493A">
      <w:pPr>
        <w:pStyle w:val="2"/>
        <w:pageBreakBefore/>
        <w:rPr>
          <w:rFonts w:asciiTheme="majorEastAsia" w:hAnsiTheme="majorEastAsia" w:eastAsiaTheme="majorEastAsia"/>
          <w:b/>
          <w:color w:val="auto"/>
          <w:sz w:val="32"/>
          <w:szCs w:val="32"/>
          <w:highlight w:val="none"/>
        </w:rPr>
      </w:pPr>
      <w:bookmarkStart w:id="7" w:name="_Toc19097"/>
      <w:r>
        <w:rPr>
          <w:rFonts w:hint="eastAsia" w:asciiTheme="majorEastAsia" w:hAnsiTheme="majorEastAsia" w:eastAsiaTheme="majorEastAsia"/>
          <w:b/>
          <w:color w:val="auto"/>
          <w:sz w:val="32"/>
          <w:szCs w:val="32"/>
          <w:highlight w:val="none"/>
        </w:rPr>
        <w:t>第一章  招标公告</w:t>
      </w:r>
      <w:bookmarkEnd w:id="7"/>
    </w:p>
    <w:p w14:paraId="3307493B">
      <w:pPr>
        <w:rPr>
          <w:color w:val="auto"/>
          <w:highlight w:val="none"/>
        </w:rPr>
      </w:pPr>
    </w:p>
    <w:bookmarkEnd w:id="2"/>
    <w:bookmarkEnd w:id="3"/>
    <w:bookmarkEnd w:id="4"/>
    <w:bookmarkEnd w:id="5"/>
    <w:bookmarkEnd w:id="6"/>
    <w:p w14:paraId="3307493C">
      <w:pPr>
        <w:spacing w:before="120" w:beforeLines="50" w:after="120" w:afterLines="50" w:line="360" w:lineRule="auto"/>
        <w:ind w:firstLine="480" w:firstLineChars="200"/>
        <w:rPr>
          <w:rFonts w:ascii="宋体" w:hAnsi="宋体" w:eastAsia="宋体" w:cs="宋体"/>
          <w:color w:val="auto"/>
          <w:sz w:val="24"/>
          <w:szCs w:val="24"/>
          <w:highlight w:val="none"/>
        </w:rPr>
      </w:pPr>
      <w:bookmarkStart w:id="8" w:name="_Toc479757207"/>
      <w:bookmarkStart w:id="9" w:name="_Toc120614221"/>
      <w:bookmarkStart w:id="10" w:name="OLE_LINK2"/>
      <w:bookmarkStart w:id="11" w:name="_Toc20823314"/>
      <w:bookmarkStart w:id="12" w:name="_Toc513029242"/>
      <w:bookmarkStart w:id="13" w:name="_Toc444669970"/>
      <w:bookmarkStart w:id="14" w:name="_Toc120614211"/>
      <w:bookmarkStart w:id="15" w:name="_Toc16938558"/>
      <w:bookmarkStart w:id="16" w:name="OLE_LINK1"/>
      <w:r>
        <w:rPr>
          <w:rFonts w:hint="eastAsia" w:ascii="宋体" w:hAnsi="宋体" w:eastAsia="宋体" w:cs="宋体"/>
          <w:color w:val="auto"/>
          <w:sz w:val="24"/>
          <w:szCs w:val="24"/>
          <w:highlight w:val="none"/>
        </w:rPr>
        <w:t>南京医科大学就</w:t>
      </w:r>
      <w:r>
        <w:rPr>
          <w:rFonts w:hint="eastAsia" w:ascii="宋体" w:hAnsi="宋体" w:eastAsia="宋体" w:cs="宋体"/>
          <w:color w:val="auto"/>
          <w:sz w:val="24"/>
          <w:szCs w:val="24"/>
          <w:highlight w:val="none"/>
          <w:u w:val="single"/>
        </w:rPr>
        <w:t xml:space="preserve"> 纯水仪 </w:t>
      </w:r>
      <w:r>
        <w:rPr>
          <w:rFonts w:hint="eastAsia" w:ascii="宋体" w:hAnsi="宋体" w:eastAsia="宋体" w:cs="宋体"/>
          <w:color w:val="auto"/>
          <w:sz w:val="24"/>
          <w:szCs w:val="24"/>
          <w:highlight w:val="none"/>
        </w:rPr>
        <w:t>采购项目公开招标，相应资金已落实，欢迎符合招标公告资质要求的投标人前来投标。</w:t>
      </w:r>
    </w:p>
    <w:p w14:paraId="3307493D">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一、项目基本情况</w:t>
      </w:r>
    </w:p>
    <w:p w14:paraId="3307493E">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1.1项目名称：南京医科大学纯水仪采购项目</w:t>
      </w:r>
    </w:p>
    <w:p w14:paraId="3307493F">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1.2项目编号：NJMUZB30120260636</w:t>
      </w:r>
    </w:p>
    <w:p w14:paraId="33074940">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1.3项目预算：人民币13万元  </w:t>
      </w:r>
    </w:p>
    <w:p w14:paraId="33074941">
      <w:pPr>
        <w:spacing w:before="120" w:beforeLines="50" w:after="120" w:afterLines="50" w:line="360" w:lineRule="auto"/>
        <w:ind w:firstLine="480" w:firstLineChars="200"/>
        <w:rPr>
          <w:rFonts w:ascii="宋体" w:hAnsi="宋体" w:cs="宋体"/>
          <w:b/>
          <w:color w:val="auto"/>
          <w:sz w:val="24"/>
          <w:szCs w:val="24"/>
          <w:highlight w:val="none"/>
        </w:rPr>
      </w:pPr>
      <w:r>
        <w:rPr>
          <w:rFonts w:hint="eastAsia" w:ascii="宋体" w:hAnsi="宋体" w:eastAsia="宋体" w:cs="宋体"/>
          <w:color w:val="auto"/>
          <w:sz w:val="24"/>
          <w:szCs w:val="24"/>
          <w:highlight w:val="none"/>
        </w:rPr>
        <w:t xml:space="preserve">1.4最高总限价：13万元，投标报价超过最高限价的为无效投标。                                             </w:t>
      </w:r>
    </w:p>
    <w:p w14:paraId="33074942">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二、项目需求</w:t>
      </w:r>
    </w:p>
    <w:p w14:paraId="4DE0966E">
      <w:pPr>
        <w:spacing w:before="120" w:beforeLines="50" w:after="120" w:afterLines="5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2.1采购需求：</w:t>
      </w:r>
      <w:r>
        <w:rPr>
          <w:rFonts w:hint="eastAsia" w:ascii="宋体" w:hAnsi="宋体" w:eastAsia="宋体" w:cs="宋体"/>
          <w:color w:val="auto"/>
          <w:sz w:val="24"/>
          <w:szCs w:val="24"/>
          <w:highlight w:val="none"/>
          <w:lang w:val="en-US" w:eastAsia="zh-CN"/>
        </w:rPr>
        <w:t>南京医科大学拟采购纯水仪一台</w:t>
      </w:r>
    </w:p>
    <w:p w14:paraId="33074944">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2.2合同履行期限：</w:t>
      </w:r>
      <w:r>
        <w:rPr>
          <w:rFonts w:hint="eastAsia" w:ascii="宋体" w:hAnsi="宋体" w:cs="宋体"/>
          <w:color w:val="auto"/>
          <w:sz w:val="24"/>
          <w:szCs w:val="24"/>
          <w:highlight w:val="none"/>
          <w:lang w:val="zh-CN"/>
        </w:rPr>
        <w:t>合同签订生效后，进口设备（免税）三个月内、国产设备及进口设备（非免税）一个月内全部设备、材料运抵现场，并安装、调试结束，验收合格，交付买方使用。</w:t>
      </w:r>
    </w:p>
    <w:p w14:paraId="33074945">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2.3本项目不接受联合体投标。</w:t>
      </w:r>
    </w:p>
    <w:p w14:paraId="33074946">
      <w:pPr>
        <w:spacing w:before="120" w:beforeLines="50" w:after="120" w:afterLines="50"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具体技术参数见采购文件第三章“采购需求”。</w:t>
      </w:r>
    </w:p>
    <w:p w14:paraId="33074947">
      <w:pPr>
        <w:spacing w:before="120" w:beforeLines="50" w:after="120" w:afterLines="50"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b/>
          <w:bCs/>
          <w:color w:val="auto"/>
          <w:sz w:val="24"/>
          <w:szCs w:val="24"/>
          <w:highlight w:val="none"/>
        </w:rPr>
        <w:t>申请人的资格要求</w:t>
      </w:r>
    </w:p>
    <w:p w14:paraId="330749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3.1满足《中华人民共和国政府采购法》第二十二条规定，提供下列材料： </w:t>
      </w:r>
    </w:p>
    <w:p w14:paraId="3307494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（1）具有独立承担民事责任的能力：法人或者其他组织的</w:t>
      </w:r>
      <w:r>
        <w:rPr>
          <w:rFonts w:hint="eastAsia" w:ascii="宋体" w:hAnsi="宋体" w:eastAsia="宋体" w:cs="宋体"/>
          <w:b/>
          <w:bCs/>
          <w:color w:val="auto"/>
          <w:sz w:val="24"/>
          <w:szCs w:val="24"/>
          <w:highlight w:val="none"/>
        </w:rPr>
        <w:t>营业执照</w:t>
      </w:r>
      <w:r>
        <w:rPr>
          <w:rFonts w:hint="eastAsia" w:ascii="宋体" w:hAnsi="宋体" w:eastAsia="宋体" w:cs="宋体"/>
          <w:color w:val="auto"/>
          <w:sz w:val="24"/>
          <w:szCs w:val="24"/>
          <w:highlight w:val="none"/>
        </w:rPr>
        <w:t>（投标人为自然人的提供其</w:t>
      </w:r>
      <w:r>
        <w:rPr>
          <w:rFonts w:hint="eastAsia" w:ascii="宋体" w:hAnsi="宋体" w:eastAsia="宋体" w:cs="宋体"/>
          <w:b/>
          <w:bCs/>
          <w:color w:val="auto"/>
          <w:sz w:val="24"/>
          <w:szCs w:val="24"/>
          <w:highlight w:val="none"/>
        </w:rPr>
        <w:t>身份证</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法定代表人和授权代表</w:t>
      </w:r>
      <w:r>
        <w:rPr>
          <w:rFonts w:hint="eastAsia" w:ascii="宋体" w:hAnsi="宋体" w:eastAsia="宋体" w:cs="宋体"/>
          <w:color w:val="auto"/>
          <w:sz w:val="24"/>
          <w:szCs w:val="24"/>
          <w:highlight w:val="none"/>
        </w:rPr>
        <w:t>的</w:t>
      </w:r>
      <w:r>
        <w:rPr>
          <w:rFonts w:hint="eastAsia" w:ascii="宋体" w:hAnsi="宋体" w:eastAsia="宋体" w:cs="宋体"/>
          <w:b/>
          <w:bCs/>
          <w:color w:val="auto"/>
          <w:sz w:val="24"/>
          <w:szCs w:val="24"/>
          <w:highlight w:val="none"/>
        </w:rPr>
        <w:t>身份证明文件。</w:t>
      </w:r>
      <w:r>
        <w:rPr>
          <w:rFonts w:hint="eastAsia" w:ascii="宋体" w:hAnsi="宋体" w:eastAsia="宋体" w:cs="宋体"/>
          <w:color w:val="auto"/>
          <w:sz w:val="24"/>
          <w:szCs w:val="24"/>
          <w:highlight w:val="none"/>
        </w:rPr>
        <w:t>（提供相关证明材料</w:t>
      </w:r>
      <w:r>
        <w:rPr>
          <w:rFonts w:hint="eastAsia" w:ascii="宋体" w:hAnsi="宋体" w:eastAsia="宋体" w:cs="宋体"/>
          <w:b/>
          <w:bCs/>
          <w:color w:val="auto"/>
          <w:sz w:val="24"/>
          <w:szCs w:val="24"/>
          <w:highlight w:val="none"/>
        </w:rPr>
        <w:t>复印件并加盖单位公章</w:t>
      </w:r>
      <w:r>
        <w:rPr>
          <w:rFonts w:hint="eastAsia" w:ascii="宋体" w:hAnsi="宋体" w:eastAsia="宋体" w:cs="宋体"/>
          <w:color w:val="auto"/>
          <w:sz w:val="24"/>
          <w:szCs w:val="24"/>
          <w:highlight w:val="none"/>
        </w:rPr>
        <w:t>）；</w:t>
      </w:r>
    </w:p>
    <w:p w14:paraId="3307494A">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（2）具有良好的商业信誉和健全的财务会计制度：提供</w:t>
      </w:r>
      <w:r>
        <w:rPr>
          <w:rFonts w:hint="eastAsia" w:ascii="宋体" w:hAnsi="宋体" w:eastAsia="宋体" w:cs="宋体"/>
          <w:b/>
          <w:bCs/>
          <w:color w:val="auto"/>
          <w:sz w:val="24"/>
          <w:szCs w:val="24"/>
          <w:highlight w:val="none"/>
        </w:rPr>
        <w:t>上一年度经事务所审计出具的正式审计报告</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或招标截止时间前</w:t>
      </w:r>
      <w:r>
        <w:rPr>
          <w:rFonts w:hint="eastAsia" w:ascii="宋体" w:hAnsi="宋体" w:eastAsia="宋体" w:cs="宋体"/>
          <w:color w:val="auto"/>
          <w:sz w:val="24"/>
          <w:szCs w:val="24"/>
          <w:highlight w:val="none"/>
        </w:rPr>
        <w:t>六个月内</w:t>
      </w:r>
      <w:r>
        <w:rPr>
          <w:rFonts w:hint="eastAsia" w:ascii="宋体" w:hAnsi="宋体" w:eastAsia="宋体" w:cs="宋体"/>
          <w:b/>
          <w:bCs/>
          <w:color w:val="auto"/>
          <w:sz w:val="24"/>
          <w:szCs w:val="24"/>
          <w:highlight w:val="none"/>
        </w:rPr>
        <w:t>任一月/季度/半年的财务报告</w:t>
      </w:r>
      <w:r>
        <w:rPr>
          <w:rFonts w:hint="eastAsia" w:ascii="宋体" w:hAnsi="宋体" w:eastAsia="宋体" w:cs="宋体"/>
          <w:color w:val="auto"/>
          <w:sz w:val="24"/>
          <w:szCs w:val="24"/>
          <w:highlight w:val="none"/>
        </w:rPr>
        <w:t>（至少包含资产负债表和利润表），或投标截止时间前三个月内银行出具的资信证明，或财政部门认可的专业担保机构出具的担保函；</w:t>
      </w:r>
    </w:p>
    <w:p w14:paraId="3307494B">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w:t>
      </w:r>
      <w:r>
        <w:rPr>
          <w:rFonts w:hint="eastAsia" w:ascii="宋体" w:hAnsi="宋体" w:eastAsia="宋体" w:cs="宋体"/>
          <w:b/>
          <w:bCs/>
          <w:color w:val="auto"/>
          <w:sz w:val="24"/>
          <w:szCs w:val="24"/>
          <w:highlight w:val="none"/>
        </w:rPr>
        <w:t>设备和专业技术能力</w:t>
      </w:r>
      <w:r>
        <w:rPr>
          <w:rFonts w:hint="eastAsia" w:ascii="宋体" w:hAnsi="宋体" w:eastAsia="宋体" w:cs="宋体"/>
          <w:color w:val="auto"/>
          <w:sz w:val="24"/>
          <w:szCs w:val="24"/>
          <w:highlight w:val="none"/>
        </w:rPr>
        <w:t>（格式详见附件）；</w:t>
      </w:r>
    </w:p>
    <w:p w14:paraId="3307494C">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w:t>
      </w:r>
      <w:r>
        <w:rPr>
          <w:rFonts w:hint="eastAsia" w:ascii="宋体" w:hAnsi="宋体" w:eastAsia="宋体" w:cs="宋体"/>
          <w:b/>
          <w:bCs/>
          <w:color w:val="auto"/>
          <w:sz w:val="24"/>
          <w:szCs w:val="24"/>
          <w:highlight w:val="none"/>
        </w:rPr>
        <w:t>缴纳税收</w:t>
      </w:r>
      <w:r>
        <w:rPr>
          <w:rFonts w:hint="eastAsia" w:ascii="宋体" w:hAnsi="宋体" w:eastAsia="宋体" w:cs="宋体"/>
          <w:color w:val="auto"/>
          <w:sz w:val="24"/>
          <w:szCs w:val="24"/>
          <w:highlight w:val="none"/>
        </w:rPr>
        <w:t>的良好记录：提供</w:t>
      </w:r>
      <w:r>
        <w:rPr>
          <w:rFonts w:hint="eastAsia" w:ascii="宋体" w:hAnsi="宋体" w:eastAsia="宋体" w:cs="宋体"/>
          <w:b/>
          <w:bCs/>
          <w:color w:val="auto"/>
          <w:sz w:val="24"/>
          <w:szCs w:val="24"/>
          <w:highlight w:val="none"/>
        </w:rPr>
        <w:t>招标截止时间前六个月内任一月</w:t>
      </w:r>
      <w:r>
        <w:rPr>
          <w:rFonts w:hint="eastAsia" w:ascii="宋体" w:hAnsi="宋体" w:eastAsia="宋体" w:cs="宋体"/>
          <w:color w:val="auto"/>
          <w:sz w:val="24"/>
          <w:szCs w:val="24"/>
          <w:highlight w:val="none"/>
        </w:rPr>
        <w:t>缴纳增值税，印花税或企业所得税的有效凭据；</w:t>
      </w:r>
    </w:p>
    <w:p w14:paraId="3307494D">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（5）有依法</w:t>
      </w:r>
      <w:r>
        <w:rPr>
          <w:rFonts w:hint="eastAsia" w:ascii="宋体" w:hAnsi="宋体" w:eastAsia="宋体" w:cs="宋体"/>
          <w:b/>
          <w:bCs/>
          <w:color w:val="auto"/>
          <w:sz w:val="24"/>
          <w:szCs w:val="24"/>
          <w:highlight w:val="none"/>
        </w:rPr>
        <w:t>缴纳社会保障资金</w:t>
      </w:r>
      <w:r>
        <w:rPr>
          <w:rFonts w:hint="eastAsia" w:ascii="宋体" w:hAnsi="宋体" w:eastAsia="宋体" w:cs="宋体"/>
          <w:color w:val="auto"/>
          <w:sz w:val="24"/>
          <w:szCs w:val="24"/>
          <w:highlight w:val="none"/>
        </w:rPr>
        <w:t>的良好记录：提供</w:t>
      </w:r>
      <w:r>
        <w:rPr>
          <w:rFonts w:hint="eastAsia" w:ascii="宋体" w:hAnsi="宋体" w:eastAsia="宋体" w:cs="宋体"/>
          <w:b/>
          <w:bCs/>
          <w:color w:val="auto"/>
          <w:sz w:val="24"/>
          <w:szCs w:val="24"/>
          <w:highlight w:val="none"/>
        </w:rPr>
        <w:t>招标截止时间前六个月内任一月</w:t>
      </w:r>
      <w:r>
        <w:rPr>
          <w:rFonts w:hint="eastAsia" w:ascii="宋体" w:hAnsi="宋体" w:eastAsia="宋体" w:cs="宋体"/>
          <w:color w:val="auto"/>
          <w:sz w:val="24"/>
          <w:szCs w:val="24"/>
          <w:highlight w:val="none"/>
        </w:rPr>
        <w:t>缴纳社会保险的凭据（专用收据，或社会保险缴纳清单等）；</w:t>
      </w:r>
    </w:p>
    <w:p w14:paraId="3307494E">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（6）参加政府采购活动前三年内，在经营活动中</w:t>
      </w:r>
      <w:r>
        <w:rPr>
          <w:rFonts w:hint="eastAsia" w:ascii="宋体" w:hAnsi="宋体" w:eastAsia="宋体" w:cs="宋体"/>
          <w:b/>
          <w:bCs/>
          <w:color w:val="auto"/>
          <w:sz w:val="24"/>
          <w:szCs w:val="24"/>
          <w:highlight w:val="none"/>
        </w:rPr>
        <w:t>没有重大违法记录</w:t>
      </w:r>
      <w:r>
        <w:rPr>
          <w:rFonts w:hint="eastAsia" w:ascii="宋体" w:hAnsi="宋体" w:eastAsia="宋体" w:cs="宋体"/>
          <w:color w:val="auto"/>
          <w:sz w:val="24"/>
          <w:szCs w:val="24"/>
          <w:highlight w:val="none"/>
        </w:rPr>
        <w:t>（格式详见附件）；</w:t>
      </w:r>
    </w:p>
    <w:p w14:paraId="3307494F">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（7）法律、行政法规规定的其他条件。</w:t>
      </w:r>
    </w:p>
    <w:p w14:paraId="33074950">
      <w:pPr>
        <w:spacing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3.2本项目的特定资格要求：无</w:t>
      </w:r>
    </w:p>
    <w:p w14:paraId="3307495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3.3落实政府采购政策需满足的资格要求：投标人如为中小企业、监狱企业、残疾人福利性单位，提供的产品为国家认定的节能产品和环保产品的须按要求提供相关材料。</w:t>
      </w:r>
    </w:p>
    <w:p w14:paraId="33074952">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3.4本项目</w:t>
      </w:r>
      <w:r>
        <w:rPr>
          <w:rFonts w:hint="eastAsia" w:ascii="宋体" w:hAnsi="宋体" w:eastAsia="宋体" w:cs="宋体"/>
          <w:color w:val="auto"/>
          <w:sz w:val="24"/>
          <w:szCs w:val="24"/>
          <w:highlight w:val="none"/>
          <w:lang w:val="en-US" w:eastAsia="zh-CN"/>
        </w:rPr>
        <w:t>不</w:t>
      </w:r>
      <w:r>
        <w:rPr>
          <w:rFonts w:hint="eastAsia" w:ascii="宋体" w:hAnsi="宋体" w:eastAsia="宋体" w:cs="宋体"/>
          <w:color w:val="auto"/>
          <w:sz w:val="24"/>
          <w:szCs w:val="24"/>
          <w:highlight w:val="none"/>
        </w:rPr>
        <w:t>接受进口产品投标；</w:t>
      </w:r>
    </w:p>
    <w:p w14:paraId="33074953">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3.5本项目不接受联合体参与投标；</w:t>
      </w:r>
    </w:p>
    <w:p w14:paraId="3307495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3.6拒绝下述投标人参加本次采购活动：</w:t>
      </w:r>
    </w:p>
    <w:p w14:paraId="3307495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（1）投标人单位负责人为同一人或者存在直接控股、管理关系的不同投标人，不得参加同一合同项下的采购活动。</w:t>
      </w:r>
    </w:p>
    <w:p w14:paraId="3307495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（2）凡为采购项目提供整体设计、规范编制或者项目管理、监理、检测等服务的投标人，不得再参加本项目的采购活动。</w:t>
      </w:r>
    </w:p>
    <w:p w14:paraId="3307495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（3）拒绝列入失信被执行人、重大税收违法失信主体、政府采购严重违法失信行为记录名单中的投标人参加本项目的采购活动。采购人通过 “信用中国”（www.creditchina.gov.cn）、“中国政府采购网”（www.ccgp.gov.cn）等渠道查询投标人信用记录并保存。</w:t>
      </w:r>
    </w:p>
    <w:p w14:paraId="33074958">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四、公告发布媒体</w:t>
      </w:r>
    </w:p>
    <w:p w14:paraId="33074959">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本项目在“https://www.njmu.edu.cn/南京医科大学官方网站”发布</w:t>
      </w:r>
      <w:r>
        <w:rPr>
          <w:rFonts w:hint="eastAsia" w:ascii="宋体" w:hAnsi="宋体" w:eastAsia="宋体" w:cs="宋体"/>
          <w:color w:val="auto"/>
          <w:sz w:val="24"/>
          <w:szCs w:val="24"/>
          <w:highlight w:val="none"/>
          <w:lang w:val="zh-CN"/>
        </w:rPr>
        <w:t>公告</w:t>
      </w:r>
      <w:r>
        <w:rPr>
          <w:rFonts w:hint="eastAsia" w:ascii="宋体" w:hAnsi="宋体" w:eastAsia="宋体" w:cs="宋体"/>
          <w:color w:val="auto"/>
          <w:sz w:val="24"/>
          <w:szCs w:val="24"/>
          <w:highlight w:val="none"/>
        </w:rPr>
        <w:t>，投标人可自行下载。</w:t>
      </w:r>
    </w:p>
    <w:p w14:paraId="3307495A">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五、投标截止时间及开标信息</w:t>
      </w:r>
    </w:p>
    <w:p w14:paraId="3307495B">
      <w:pPr>
        <w:spacing w:before="120" w:beforeLines="50" w:after="120" w:afterLines="50"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5.1投标文件接收截止时间及开标时间：2026年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lang w:val="en-US" w:eastAsia="zh-CN"/>
        </w:rPr>
        <w:t>15分</w:t>
      </w:r>
    </w:p>
    <w:p w14:paraId="3307495C">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5.2投标文件接收地点及开标地点：南京医科大学江宁校区德馨楼</w:t>
      </w:r>
      <w:bookmarkStart w:id="78" w:name="_GoBack"/>
      <w:bookmarkEnd w:id="78"/>
      <w:r>
        <w:rPr>
          <w:rFonts w:hint="eastAsia" w:ascii="宋体" w:hAnsi="宋体" w:eastAsia="宋体" w:cs="宋体"/>
          <w:color w:val="auto"/>
          <w:sz w:val="24"/>
          <w:szCs w:val="24"/>
          <w:highlight w:val="none"/>
        </w:rPr>
        <w:t>B201室</w:t>
      </w:r>
    </w:p>
    <w:p w14:paraId="3307495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5.3投标文件接收要求：（1）</w:t>
      </w:r>
      <w:r>
        <w:rPr>
          <w:rFonts w:hint="eastAsia" w:ascii="宋体" w:hAnsi="宋体" w:eastAsia="宋体" w:cs="宋体"/>
          <w:b/>
          <w:bCs/>
          <w:color w:val="auto"/>
          <w:sz w:val="24"/>
          <w:szCs w:val="24"/>
          <w:highlight w:val="none"/>
        </w:rPr>
        <w:t>纸质投标文件一式五份</w:t>
      </w:r>
      <w:r>
        <w:rPr>
          <w:rFonts w:hint="eastAsia" w:ascii="宋体" w:hAnsi="宋体" w:eastAsia="宋体" w:cs="宋体"/>
          <w:color w:val="auto"/>
          <w:sz w:val="24"/>
          <w:szCs w:val="24"/>
          <w:highlight w:val="none"/>
        </w:rPr>
        <w:t>，其中正本一份、副本四份，在标书封面标注“正本”、“副本”字样，标书密封并在封口处加盖公章。</w:t>
      </w:r>
    </w:p>
    <w:p w14:paraId="3307495E">
      <w:pPr>
        <w:numPr>
          <w:ilvl w:val="0"/>
          <w:numId w:val="2"/>
        </w:num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电子版U盘1份</w:t>
      </w:r>
      <w:r>
        <w:rPr>
          <w:rFonts w:hint="eastAsia" w:ascii="宋体" w:hAnsi="宋体" w:eastAsia="宋体" w:cs="宋体"/>
          <w:color w:val="auto"/>
          <w:sz w:val="24"/>
          <w:szCs w:val="24"/>
          <w:highlight w:val="none"/>
        </w:rPr>
        <w:t>（须包含投标文件word格式和pdf格式，pdf格式须加盖公司公章）</w:t>
      </w:r>
    </w:p>
    <w:p w14:paraId="3307495F">
      <w:pPr>
        <w:numPr>
          <w:ilvl w:val="0"/>
          <w:numId w:val="2"/>
        </w:num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i/>
          <w:color w:val="auto"/>
          <w:sz w:val="24"/>
          <w:highlight w:val="none"/>
          <w:u w:val="single"/>
        </w:rPr>
        <w:t>开标一览表必须加</w:t>
      </w:r>
      <w:r>
        <w:rPr>
          <w:rFonts w:hint="eastAsia" w:ascii="宋体" w:hAnsi="宋体" w:eastAsia="宋体" w:cs="宋体"/>
          <w:b/>
          <w:bCs/>
          <w:i/>
          <w:iCs/>
          <w:color w:val="auto"/>
          <w:sz w:val="24"/>
          <w:highlight w:val="none"/>
          <w:u w:val="single"/>
        </w:rPr>
        <w:t>盖投标人公章且授权代表签字（复印件无效），需单独密封在信封中，在投标截止时间前与投标文件分别递交，否</w:t>
      </w:r>
      <w:r>
        <w:rPr>
          <w:rFonts w:hint="eastAsia" w:ascii="宋体" w:hAnsi="宋体" w:eastAsia="宋体" w:cs="宋体"/>
          <w:b/>
          <w:i/>
          <w:color w:val="auto"/>
          <w:sz w:val="24"/>
          <w:highlight w:val="none"/>
          <w:u w:val="single"/>
        </w:rPr>
        <w:t>则视为无效投标。</w:t>
      </w:r>
      <w:r>
        <w:rPr>
          <w:rFonts w:hint="eastAsia" w:ascii="宋体" w:hAnsi="宋体" w:eastAsia="宋体" w:cs="宋体"/>
          <w:color w:val="auto"/>
          <w:sz w:val="24"/>
          <w:szCs w:val="24"/>
          <w:highlight w:val="none"/>
        </w:rPr>
        <w:t>如有分包，投标人投标任何一个分包，都需单独提交开标一览表。</w:t>
      </w:r>
    </w:p>
    <w:p w14:paraId="33074960">
      <w:pPr>
        <w:spacing w:before="120" w:beforeLines="50" w:after="120" w:afterLines="50"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逾期送达及未按要求密封的投标文件，采购人不予接收。</w:t>
      </w:r>
    </w:p>
    <w:p w14:paraId="33074961">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5.4需要现场说明或者澄清的问题，投标商代表未到场确认的，后果自负。</w:t>
      </w:r>
    </w:p>
    <w:p w14:paraId="33074962">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六、投标保证金</w:t>
      </w:r>
    </w:p>
    <w:p w14:paraId="33074963">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本次招标项目</w:t>
      </w:r>
      <w:r>
        <w:rPr>
          <w:rFonts w:hint="eastAsia" w:ascii="宋体" w:hAnsi="宋体" w:eastAsia="宋体" w:cs="宋体"/>
          <w:b/>
          <w:bCs/>
          <w:color w:val="auto"/>
          <w:sz w:val="24"/>
          <w:szCs w:val="24"/>
          <w:highlight w:val="none"/>
        </w:rPr>
        <w:t>不收取</w:t>
      </w:r>
      <w:r>
        <w:rPr>
          <w:rFonts w:hint="eastAsia" w:ascii="宋体" w:hAnsi="宋体" w:eastAsia="宋体" w:cs="宋体"/>
          <w:color w:val="auto"/>
          <w:sz w:val="24"/>
          <w:szCs w:val="24"/>
          <w:highlight w:val="none"/>
        </w:rPr>
        <w:t>投标保证金。</w:t>
      </w:r>
    </w:p>
    <w:p w14:paraId="33074964">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七、项目联系信息</w:t>
      </w:r>
    </w:p>
    <w:p w14:paraId="33074965">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采购人信息</w:t>
      </w:r>
    </w:p>
    <w:p w14:paraId="33074966">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名称：南京医科大学</w:t>
      </w:r>
    </w:p>
    <w:p w14:paraId="33074967">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bookmarkStart w:id="17" w:name="_Hlk153870315"/>
      <w:r>
        <w:rPr>
          <w:rFonts w:hint="eastAsia" w:ascii="宋体" w:hAnsi="宋体" w:eastAsia="宋体" w:cs="宋体"/>
          <w:color w:val="auto"/>
          <w:sz w:val="24"/>
          <w:szCs w:val="24"/>
          <w:highlight w:val="none"/>
        </w:rPr>
        <w:t>南京市江宁区龙眠大道101号</w:t>
      </w:r>
      <w:bookmarkEnd w:id="17"/>
    </w:p>
    <w:p w14:paraId="33074968">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王</w:t>
      </w:r>
      <w:r>
        <w:rPr>
          <w:rFonts w:hint="eastAsia" w:ascii="宋体" w:hAnsi="宋体" w:eastAsia="宋体" w:cs="宋体"/>
          <w:color w:val="auto"/>
          <w:sz w:val="24"/>
          <w:szCs w:val="24"/>
          <w:highlight w:val="none"/>
        </w:rPr>
        <w:t>老师</w:t>
      </w:r>
    </w:p>
    <w:p w14:paraId="33074969">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联系方式：025-86868572                  </w:t>
      </w:r>
    </w:p>
    <w:p w14:paraId="3307496A">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八、其他</w:t>
      </w:r>
    </w:p>
    <w:p w14:paraId="3307496B">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学校管理要求，校外人员需办理申请入校手续（请于开标时间前1天内完成进校申请的提交，如因个人原因未及时提交，导致开标当天无法进校的，后果自负），携带有效身份证原件刷证入校。具体办理流程如下：</w:t>
      </w:r>
    </w:p>
    <w:p w14:paraId="3307496C">
      <w:pPr>
        <w:spacing w:after="0"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关注“智慧南医”公众号，进入系统，选择“综合服务”——“</w:t>
      </w:r>
      <w:r>
        <w:rPr>
          <w:rFonts w:hint="eastAsia" w:ascii="宋体" w:hAnsi="宋体" w:cs="宋体"/>
          <w:b/>
          <w:bCs/>
          <w:color w:val="auto"/>
          <w:sz w:val="24"/>
          <w:szCs w:val="24"/>
          <w:highlight w:val="none"/>
        </w:rPr>
        <w:t>访客系统</w:t>
      </w:r>
      <w:r>
        <w:rPr>
          <w:rFonts w:hint="eastAsia" w:ascii="宋体" w:hAnsi="宋体" w:eastAsia="宋体" w:cs="宋体"/>
          <w:b/>
          <w:bCs/>
          <w:color w:val="auto"/>
          <w:sz w:val="24"/>
          <w:szCs w:val="24"/>
          <w:highlight w:val="none"/>
        </w:rPr>
        <w:t>”——填写基本信息提交审核（访问部门：资产处  访问人员：陈乐  联系电话：86868572）。</w:t>
      </w:r>
      <w:r>
        <w:rPr>
          <w:rFonts w:hint="eastAsia" w:ascii="宋体" w:hAnsi="宋体" w:eastAsia="宋体" w:cs="宋体"/>
          <w:color w:val="auto"/>
          <w:sz w:val="24"/>
          <w:szCs w:val="24"/>
          <w:highlight w:val="none"/>
        </w:rPr>
        <w:t>如下图：</w:t>
      </w:r>
    </w:p>
    <w:p w14:paraId="3307496D">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inline distT="0" distB="0" distL="114300" distR="114300">
            <wp:extent cx="2329815" cy="4705985"/>
            <wp:effectExtent l="0" t="0" r="13335" b="18415"/>
            <wp:docPr id="3" name="图片 3" descr="ce869e7741e2877b9b5e9ec6b5668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e869e7741e2877b9b5e9ec6b5668f60"/>
                    <pic:cNvPicPr>
                      <a:picLocks noChangeAspect="1"/>
                    </pic:cNvPicPr>
                  </pic:nvPicPr>
                  <pic:blipFill>
                    <a:blip r:embed="rId12"/>
                    <a:stretch>
                      <a:fillRect/>
                    </a:stretch>
                  </pic:blipFill>
                  <pic:spPr>
                    <a:xfrm>
                      <a:off x="0" y="0"/>
                      <a:ext cx="2329815" cy="4705985"/>
                    </a:xfrm>
                    <a:prstGeom prst="rect">
                      <a:avLst/>
                    </a:prstGeom>
                  </pic:spPr>
                </pic:pic>
              </a:graphicData>
            </a:graphic>
          </wp:inline>
        </w:drawing>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drawing>
          <wp:inline distT="0" distB="0" distL="114300" distR="114300">
            <wp:extent cx="2303145" cy="4693285"/>
            <wp:effectExtent l="0" t="0" r="1905" b="12065"/>
            <wp:docPr id="4" name="图片 4" descr="f0aaf2f0604b2984aed5a00db021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0aaf2f0604b2984aed5a00db0212878"/>
                    <pic:cNvPicPr>
                      <a:picLocks noChangeAspect="1"/>
                    </pic:cNvPicPr>
                  </pic:nvPicPr>
                  <pic:blipFill>
                    <a:blip r:embed="rId13"/>
                    <a:stretch>
                      <a:fillRect/>
                    </a:stretch>
                  </pic:blipFill>
                  <pic:spPr>
                    <a:xfrm>
                      <a:off x="0" y="0"/>
                      <a:ext cx="2303145" cy="4693285"/>
                    </a:xfrm>
                    <a:prstGeom prst="rect">
                      <a:avLst/>
                    </a:prstGeom>
                  </pic:spPr>
                </pic:pic>
              </a:graphicData>
            </a:graphic>
          </wp:inline>
        </w:drawing>
      </w:r>
      <w:r>
        <w:rPr>
          <w:rFonts w:hint="eastAsia" w:ascii="宋体" w:hAnsi="宋体" w:eastAsia="宋体" w:cs="宋体"/>
          <w:color w:val="auto"/>
          <w:sz w:val="24"/>
          <w:szCs w:val="24"/>
          <w:highlight w:val="none"/>
        </w:rPr>
        <w:t xml:space="preserve">   </w:t>
      </w:r>
    </w:p>
    <w:bookmarkEnd w:id="8"/>
    <w:bookmarkEnd w:id="9"/>
    <w:bookmarkEnd w:id="10"/>
    <w:bookmarkEnd w:id="11"/>
    <w:bookmarkEnd w:id="12"/>
    <w:bookmarkEnd w:id="13"/>
    <w:bookmarkEnd w:id="14"/>
    <w:bookmarkEnd w:id="15"/>
    <w:bookmarkEnd w:id="16"/>
    <w:p w14:paraId="3307496E">
      <w:pPr>
        <w:pStyle w:val="2"/>
        <w:pageBreakBefore/>
        <w:rPr>
          <w:rFonts w:asciiTheme="majorEastAsia" w:hAnsiTheme="majorEastAsia" w:eastAsiaTheme="majorEastAsia"/>
          <w:b/>
          <w:color w:val="auto"/>
          <w:sz w:val="32"/>
          <w:szCs w:val="32"/>
          <w:highlight w:val="none"/>
        </w:rPr>
      </w:pPr>
      <w:bookmarkStart w:id="18" w:name="_Toc28299"/>
      <w:r>
        <w:rPr>
          <w:rFonts w:hint="eastAsia" w:asciiTheme="majorEastAsia" w:hAnsiTheme="majorEastAsia" w:eastAsiaTheme="majorEastAsia"/>
          <w:b/>
          <w:color w:val="auto"/>
          <w:sz w:val="32"/>
          <w:szCs w:val="32"/>
          <w:highlight w:val="none"/>
        </w:rPr>
        <w:t xml:space="preserve">第二章  </w:t>
      </w:r>
      <w:bookmarkStart w:id="19" w:name="_Toc120614213"/>
      <w:bookmarkStart w:id="20" w:name="_Toc16938518"/>
      <w:bookmarkStart w:id="21" w:name="_Toc20823274"/>
      <w:bookmarkStart w:id="22" w:name="_Toc513029202"/>
      <w:r>
        <w:rPr>
          <w:rFonts w:hint="eastAsia" w:asciiTheme="majorEastAsia" w:hAnsiTheme="majorEastAsia" w:eastAsiaTheme="majorEastAsia"/>
          <w:b/>
          <w:color w:val="auto"/>
          <w:sz w:val="32"/>
          <w:szCs w:val="32"/>
          <w:highlight w:val="none"/>
        </w:rPr>
        <w:t>投标人须知</w:t>
      </w:r>
      <w:bookmarkEnd w:id="18"/>
      <w:bookmarkEnd w:id="19"/>
      <w:bookmarkEnd w:id="20"/>
      <w:bookmarkEnd w:id="21"/>
      <w:bookmarkEnd w:id="22"/>
    </w:p>
    <w:p w14:paraId="3307496F">
      <w:pPr>
        <w:autoSpaceDE w:val="0"/>
        <w:autoSpaceDN w:val="0"/>
        <w:spacing w:line="360" w:lineRule="auto"/>
        <w:ind w:firstLine="482" w:firstLineChars="200"/>
        <w:rPr>
          <w:rFonts w:ascii="宋体" w:hAnsi="宋体" w:eastAsia="宋体" w:cs="宋体"/>
          <w:b/>
          <w:bCs/>
          <w:color w:val="auto"/>
          <w:sz w:val="24"/>
          <w:szCs w:val="24"/>
          <w:highlight w:val="none"/>
          <w:lang w:val="zh-CN"/>
        </w:rPr>
      </w:pPr>
      <w:bookmarkStart w:id="23" w:name="_Toc20823275"/>
      <w:bookmarkStart w:id="24" w:name="_Toc120614214"/>
      <w:bookmarkStart w:id="25" w:name="_Toc16938519"/>
      <w:bookmarkStart w:id="26" w:name="_Toc513029203"/>
      <w:r>
        <w:rPr>
          <w:rFonts w:hint="eastAsia" w:ascii="宋体" w:hAnsi="宋体" w:eastAsia="宋体" w:cs="宋体"/>
          <w:b/>
          <w:bCs/>
          <w:color w:val="auto"/>
          <w:sz w:val="24"/>
          <w:szCs w:val="24"/>
          <w:highlight w:val="none"/>
          <w:lang w:val="zh-CN"/>
        </w:rPr>
        <w:t>一、总则</w:t>
      </w:r>
    </w:p>
    <w:p w14:paraId="33074970">
      <w:pPr>
        <w:spacing w:after="0" w:line="360" w:lineRule="auto"/>
        <w:ind w:firstLine="482" w:firstLineChars="20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1、适用法律</w:t>
      </w:r>
    </w:p>
    <w:p w14:paraId="33074971">
      <w:pPr>
        <w:spacing w:after="0" w:line="360" w:lineRule="auto"/>
        <w:ind w:firstLine="480" w:firstLineChars="200"/>
        <w:rPr>
          <w:rFonts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1.1 《中华人民共和国政府采购法》《中华人民共和国政府采购法实施条例》《政府采购货物和服务招标投标管理办法》等有关法律、规章和规定等。</w:t>
      </w:r>
    </w:p>
    <w:p w14:paraId="33074972">
      <w:pPr>
        <w:spacing w:after="0" w:line="360" w:lineRule="auto"/>
        <w:ind w:firstLine="482" w:firstLineChars="200"/>
        <w:rPr>
          <w:rFonts w:ascii="宋体" w:hAnsi="宋体" w:eastAsia="宋体" w:cs="宋体"/>
          <w:b/>
          <w:bCs/>
          <w:color w:val="auto"/>
          <w:sz w:val="24"/>
          <w:szCs w:val="24"/>
          <w:highlight w:val="none"/>
          <w:lang w:val="zh-CN"/>
        </w:rPr>
      </w:pPr>
      <w:bookmarkStart w:id="27" w:name="_Toc25367"/>
      <w:bookmarkStart w:id="28" w:name="_Toc14852"/>
      <w:r>
        <w:rPr>
          <w:rFonts w:hint="eastAsia" w:ascii="宋体" w:hAnsi="宋体" w:eastAsia="宋体" w:cs="宋体"/>
          <w:b/>
          <w:bCs/>
          <w:color w:val="auto"/>
          <w:sz w:val="24"/>
          <w:szCs w:val="24"/>
          <w:highlight w:val="none"/>
          <w:lang w:val="zh-CN"/>
        </w:rPr>
        <w:t>2、定义</w:t>
      </w:r>
      <w:bookmarkEnd w:id="27"/>
      <w:bookmarkEnd w:id="28"/>
    </w:p>
    <w:p w14:paraId="33074973">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2.1 “</w:t>
      </w: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是指参加投标竞争，并符合招标文件规定资格条件的法人、其他组织或者自然人。</w:t>
      </w:r>
    </w:p>
    <w:p w14:paraId="33074974">
      <w:pPr>
        <w:autoSpaceDE w:val="0"/>
        <w:autoSpaceDN w:val="0"/>
        <w:spacing w:line="360" w:lineRule="auto"/>
        <w:ind w:firstLine="480" w:firstLineChars="200"/>
        <w:rPr>
          <w:rFonts w:ascii="宋体" w:hAnsi="宋体" w:eastAsia="宋体" w:cs="宋体"/>
          <w:b/>
          <w:color w:val="auto"/>
          <w:sz w:val="24"/>
          <w:szCs w:val="24"/>
          <w:highlight w:val="none"/>
          <w:lang w:val="zh-CN"/>
        </w:rPr>
      </w:pPr>
      <w:r>
        <w:rPr>
          <w:rFonts w:hint="eastAsia" w:ascii="宋体" w:hAnsi="宋体" w:eastAsia="宋体" w:cs="宋体"/>
          <w:bCs/>
          <w:color w:val="auto"/>
          <w:sz w:val="24"/>
          <w:szCs w:val="24"/>
          <w:highlight w:val="none"/>
          <w:lang w:val="zh-CN"/>
        </w:rPr>
        <w:t>2.2 “产品”指本招标文件中所述产品</w:t>
      </w:r>
      <w:r>
        <w:rPr>
          <w:rFonts w:hint="eastAsia" w:ascii="宋体" w:hAnsi="宋体" w:eastAsia="宋体" w:cs="宋体"/>
          <w:color w:val="auto"/>
          <w:sz w:val="24"/>
          <w:szCs w:val="24"/>
          <w:highlight w:val="none"/>
          <w:lang w:val="zh-CN"/>
        </w:rPr>
        <w:t>及相关服务。</w:t>
      </w:r>
    </w:p>
    <w:p w14:paraId="33074975">
      <w:pPr>
        <w:autoSpaceDE w:val="0"/>
        <w:autoSpaceDN w:val="0"/>
        <w:spacing w:line="360" w:lineRule="auto"/>
        <w:ind w:firstLine="482" w:firstLineChars="20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3、政策功能</w:t>
      </w:r>
    </w:p>
    <w:p w14:paraId="33074976">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3.1</w:t>
      </w:r>
      <w:r>
        <w:rPr>
          <w:rFonts w:hint="eastAsia" w:ascii="宋体" w:hAnsi="宋体" w:eastAsia="宋体" w:cs="宋体"/>
          <w:bCs/>
          <w:color w:val="auto"/>
          <w:sz w:val="24"/>
          <w:szCs w:val="24"/>
          <w:highlight w:val="none"/>
        </w:rPr>
        <w:t>相关</w:t>
      </w:r>
      <w:r>
        <w:rPr>
          <w:rFonts w:hint="eastAsia" w:ascii="宋体" w:hAnsi="宋体" w:eastAsia="宋体" w:cs="宋体"/>
          <w:bCs/>
          <w:color w:val="auto"/>
          <w:sz w:val="24"/>
          <w:szCs w:val="24"/>
          <w:highlight w:val="none"/>
          <w:lang w:val="zh-CN"/>
        </w:rPr>
        <w:t>政策</w:t>
      </w:r>
    </w:p>
    <w:p w14:paraId="33074977">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（1）参加投标的</w:t>
      </w:r>
      <w:r>
        <w:rPr>
          <w:rFonts w:hint="eastAsia" w:ascii="宋体" w:hAnsi="宋体" w:eastAsia="宋体" w:cs="宋体"/>
          <w:bCs/>
          <w:color w:val="auto"/>
          <w:sz w:val="24"/>
          <w:szCs w:val="24"/>
          <w:highlight w:val="none"/>
        </w:rPr>
        <w:t>中</w:t>
      </w:r>
      <w:r>
        <w:rPr>
          <w:rFonts w:hint="eastAsia" w:ascii="宋体" w:hAnsi="宋体" w:eastAsia="宋体" w:cs="宋体"/>
          <w:bCs/>
          <w:color w:val="auto"/>
          <w:sz w:val="24"/>
          <w:szCs w:val="24"/>
          <w:highlight w:val="none"/>
          <w:lang w:val="zh-CN"/>
        </w:rPr>
        <w:t>小企业，应当提供</w:t>
      </w:r>
      <w:r>
        <w:rPr>
          <w:rFonts w:hint="eastAsia" w:ascii="宋体" w:hAnsi="宋体" w:eastAsia="宋体" w:cs="宋体"/>
          <w:bCs/>
          <w:color w:val="auto"/>
          <w:sz w:val="24"/>
          <w:szCs w:val="24"/>
          <w:highlight w:val="none"/>
        </w:rPr>
        <w:t>规定的</w:t>
      </w:r>
      <w:r>
        <w:rPr>
          <w:rFonts w:hint="eastAsia" w:ascii="宋体" w:hAnsi="宋体" w:eastAsia="宋体" w:cs="宋体"/>
          <w:bCs/>
          <w:color w:val="auto"/>
          <w:sz w:val="24"/>
          <w:szCs w:val="24"/>
          <w:highlight w:val="none"/>
          <w:lang w:val="zh-CN"/>
        </w:rPr>
        <w:t>《中小企业声明函》，</w:t>
      </w:r>
      <w:r>
        <w:rPr>
          <w:rFonts w:ascii="宋体" w:hAnsi="宋体" w:eastAsia="宋体" w:cs="宋体"/>
          <w:color w:val="auto"/>
          <w:sz w:val="24"/>
          <w:szCs w:val="24"/>
          <w:highlight w:val="none"/>
        </w:rPr>
        <w:t>否则不得享受相关中小企业扶持政策。</w:t>
      </w:r>
    </w:p>
    <w:p w14:paraId="33074978">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33074979">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（3）参加投标的残疾人福利性单位，应当提供 《残疾人福利性单位声明函》，残疾人福利性单位享受政府采购支持政策的要求详见财库〔2017〕141号。</w:t>
      </w:r>
    </w:p>
    <w:p w14:paraId="3307497A">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4</w:t>
      </w:r>
      <w:r>
        <w:rPr>
          <w:rFonts w:hint="eastAsia" w:ascii="宋体" w:hAnsi="宋体" w:eastAsia="宋体" w:cs="宋体"/>
          <w:bCs/>
          <w:color w:val="auto"/>
          <w:sz w:val="24"/>
          <w:szCs w:val="24"/>
          <w:highlight w:val="none"/>
          <w:lang w:val="zh-CN"/>
        </w:rPr>
        <w:t>）提供的产品属于信息安全产品的，投标人应当选择经国家认证的信息安全产品投标，并提供由中国信息安全认证中心按国家标准认证颁发的有效认证证书复印件。</w:t>
      </w:r>
    </w:p>
    <w:p w14:paraId="3307497B">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val="zh-CN"/>
        </w:rPr>
        <w:t>）提供的产品属于政府强制采购节能产品的，投标人应当选择经过认证的节能产品投标，并提供有效的节能产品认证证书复印件。</w:t>
      </w:r>
    </w:p>
    <w:p w14:paraId="3307497C">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6</w:t>
      </w:r>
      <w:r>
        <w:rPr>
          <w:rFonts w:hint="eastAsia" w:ascii="宋体" w:hAnsi="宋体" w:eastAsia="宋体" w:cs="宋体"/>
          <w:bCs/>
          <w:color w:val="auto"/>
          <w:sz w:val="24"/>
          <w:szCs w:val="24"/>
          <w:highlight w:val="none"/>
          <w:lang w:val="zh-CN"/>
        </w:rPr>
        <w:t>）提供的产品属于环境标志产品的,投标人应当选择经过认证的环境标志产品投标,并提供有效的环境标志产品认证证书复印件。</w:t>
      </w:r>
    </w:p>
    <w:p w14:paraId="3307497D">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7</w:t>
      </w:r>
      <w:r>
        <w:rPr>
          <w:rFonts w:hint="eastAsia" w:ascii="宋体" w:hAnsi="宋体" w:eastAsia="宋体" w:cs="宋体"/>
          <w:bCs/>
          <w:color w:val="auto"/>
          <w:sz w:val="24"/>
          <w:szCs w:val="24"/>
          <w:highlight w:val="none"/>
          <w:lang w:val="zh-CN"/>
        </w:rPr>
        <w:t>）本国产品标准、本国产品标准的适用范围、对本国产品的支持政策等详见《国务院办公厅关于在政府采购中实施本国产品标准及相关政策的通知》（国办发〔2025〕34号）。</w:t>
      </w:r>
    </w:p>
    <w:p w14:paraId="3307497E">
      <w:pPr>
        <w:pStyle w:val="2"/>
        <w:keepNext w:val="0"/>
        <w:widowControl/>
        <w:shd w:val="clear" w:color="auto" w:fill="FFFFFF"/>
        <w:autoSpaceDE w:val="0"/>
        <w:autoSpaceDN w:val="0"/>
        <w:spacing w:line="360" w:lineRule="auto"/>
        <w:ind w:firstLine="480" w:firstLineChars="200"/>
        <w:jc w:val="left"/>
        <w:rPr>
          <w:rFonts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（8）强化政府采购异常低价审查政策详见《关于推动解决政府采购异常低价问题相关工作的通知》（苏财购〔2025〕62号）。</w:t>
      </w:r>
    </w:p>
    <w:p w14:paraId="3307497F">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3.2未按要求提供相关材料的，不享受相关政策。</w:t>
      </w:r>
    </w:p>
    <w:p w14:paraId="33074980">
      <w:pPr>
        <w:spacing w:line="360" w:lineRule="auto"/>
        <w:ind w:firstLine="472" w:firstLineChars="196"/>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二、招标文件</w:t>
      </w:r>
    </w:p>
    <w:p w14:paraId="33074981">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4、招标文件组成</w:t>
      </w:r>
    </w:p>
    <w:p w14:paraId="33074982">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4.1 招标文件组成：</w:t>
      </w:r>
      <w:r>
        <w:rPr>
          <w:rFonts w:hint="eastAsia" w:ascii="宋体" w:hAnsi="宋体" w:eastAsia="宋体" w:cs="宋体"/>
          <w:color w:val="auto"/>
          <w:sz w:val="24"/>
          <w:szCs w:val="24"/>
          <w:highlight w:val="none"/>
        </w:rPr>
        <w:t>招标公告</w:t>
      </w:r>
      <w:r>
        <w:rPr>
          <w:rFonts w:hint="eastAsia" w:ascii="宋体" w:hAnsi="宋体" w:eastAsia="宋体" w:cs="宋体"/>
          <w:color w:val="auto"/>
          <w:sz w:val="24"/>
          <w:szCs w:val="24"/>
          <w:highlight w:val="none"/>
          <w:lang w:val="zh-CN"/>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3307498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 招标的最小单位是</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zh-CN"/>
        </w:rPr>
        <w:t>包。招标服务数量及技术要求中未分包的，投标人对要求提供的服务不得部分投标；招标服务数量及技术要求中已经分包的，应当以包为单位投标。</w:t>
      </w:r>
    </w:p>
    <w:p w14:paraId="33074984">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3074985">
      <w:pPr>
        <w:autoSpaceDE w:val="0"/>
        <w:autoSpaceDN w:val="0"/>
        <w:spacing w:line="360" w:lineRule="auto"/>
        <w:ind w:firstLine="420"/>
        <w:rPr>
          <w:rFonts w:ascii="宋体" w:hAnsi="宋体" w:eastAsia="宋体" w:cs="宋体"/>
          <w:b/>
          <w:color w:val="auto"/>
          <w:sz w:val="24"/>
          <w:szCs w:val="24"/>
          <w:highlight w:val="none"/>
          <w:lang w:val="zh-CN"/>
        </w:rPr>
      </w:pPr>
      <w:bookmarkStart w:id="29" w:name="_Toc30037"/>
      <w:bookmarkStart w:id="30" w:name="_Toc16293"/>
      <w:r>
        <w:rPr>
          <w:rFonts w:hint="eastAsia" w:ascii="宋体" w:hAnsi="宋体" w:eastAsia="宋体" w:cs="宋体"/>
          <w:b/>
          <w:color w:val="auto"/>
          <w:sz w:val="24"/>
          <w:szCs w:val="24"/>
          <w:highlight w:val="none"/>
          <w:lang w:val="zh-CN"/>
        </w:rPr>
        <w:t>5、招标文件的澄清、修改</w:t>
      </w:r>
      <w:bookmarkEnd w:id="29"/>
      <w:bookmarkEnd w:id="30"/>
    </w:p>
    <w:p w14:paraId="33074986">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5.1采购人可以对已发出的招标文件进行必要的澄清或者修改，在招标文件要求提交投标文件截止时间</w:t>
      </w:r>
      <w:r>
        <w:rPr>
          <w:rFonts w:hint="eastAsia" w:ascii="宋体" w:hAnsi="宋体" w:eastAsia="宋体" w:cs="宋体"/>
          <w:b/>
          <w:bCs/>
          <w:color w:val="auto"/>
          <w:sz w:val="24"/>
          <w:szCs w:val="24"/>
          <w:highlight w:val="none"/>
          <w:lang w:val="zh-CN"/>
        </w:rPr>
        <w:t>十五日</w:t>
      </w:r>
      <w:r>
        <w:rPr>
          <w:rFonts w:hint="eastAsia" w:ascii="宋体" w:hAnsi="宋体" w:eastAsia="宋体" w:cs="宋体"/>
          <w:color w:val="auto"/>
          <w:sz w:val="24"/>
          <w:szCs w:val="24"/>
          <w:highlight w:val="none"/>
          <w:lang w:val="zh-CN"/>
        </w:rPr>
        <w:t>前，在原招标公告媒体发布更正公告，不足15日的，采购人顺延提交投标文件的截止时间。澄清或者修改的内容为招标文件的组成部分。</w:t>
      </w:r>
    </w:p>
    <w:p w14:paraId="3307498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zh-CN"/>
        </w:rPr>
        <w:t>应在投标截止时间前关注</w:t>
      </w:r>
      <w:r>
        <w:rPr>
          <w:rFonts w:hint="eastAsia" w:ascii="宋体" w:hAnsi="宋体" w:eastAsia="宋体" w:cs="宋体"/>
          <w:color w:val="auto"/>
          <w:sz w:val="24"/>
          <w:szCs w:val="24"/>
          <w:highlight w:val="none"/>
        </w:rPr>
        <w:t>原招标信息发布媒体上</w:t>
      </w:r>
      <w:r>
        <w:rPr>
          <w:rFonts w:hint="eastAsia" w:ascii="宋体" w:hAnsi="宋体" w:eastAsia="宋体" w:cs="宋体"/>
          <w:color w:val="auto"/>
          <w:sz w:val="24"/>
          <w:szCs w:val="24"/>
          <w:highlight w:val="none"/>
          <w:lang w:val="zh-CN"/>
        </w:rPr>
        <w:t>有关本招标项目有无变更公告。</w:t>
      </w:r>
    </w:p>
    <w:p w14:paraId="33074988">
      <w:pPr>
        <w:spacing w:line="360" w:lineRule="auto"/>
        <w:ind w:firstLine="472" w:firstLineChars="196"/>
        <w:rPr>
          <w:rFonts w:ascii="宋体" w:hAnsi="宋体" w:eastAsia="宋体" w:cs="宋体"/>
          <w:b/>
          <w:color w:val="auto"/>
          <w:sz w:val="24"/>
          <w:szCs w:val="24"/>
          <w:highlight w:val="none"/>
          <w:lang w:val="zh-CN"/>
        </w:rPr>
      </w:pPr>
      <w:bookmarkStart w:id="31" w:name="_Toc29531"/>
      <w:bookmarkStart w:id="32" w:name="_Toc1785"/>
      <w:r>
        <w:rPr>
          <w:rFonts w:hint="eastAsia" w:ascii="宋体" w:hAnsi="宋体" w:eastAsia="宋体" w:cs="宋体"/>
          <w:b/>
          <w:color w:val="auto"/>
          <w:sz w:val="24"/>
          <w:szCs w:val="24"/>
          <w:highlight w:val="none"/>
          <w:lang w:val="zh-CN"/>
        </w:rPr>
        <w:t>三、投标</w:t>
      </w:r>
      <w:bookmarkEnd w:id="31"/>
      <w:bookmarkEnd w:id="32"/>
    </w:p>
    <w:p w14:paraId="33074989">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6、投标文件的语言、计量单位、货币和编制</w:t>
      </w:r>
    </w:p>
    <w:p w14:paraId="3307498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6.1 投标人提交的投标文件、技术文件和资料，包括图纸中的说明，以及投标人与</w:t>
      </w: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lang w:val="zh-CN"/>
        </w:rPr>
        <w:t>就有关投标的所有来往函电均应使用</w:t>
      </w:r>
      <w:r>
        <w:rPr>
          <w:rFonts w:hint="eastAsia" w:ascii="宋体" w:hAnsi="宋体" w:eastAsia="宋体" w:cs="宋体"/>
          <w:b/>
          <w:bCs/>
          <w:color w:val="auto"/>
          <w:sz w:val="24"/>
          <w:szCs w:val="24"/>
          <w:highlight w:val="none"/>
          <w:lang w:val="zh-CN"/>
        </w:rPr>
        <w:t>中文</w:t>
      </w:r>
      <w:r>
        <w:rPr>
          <w:rFonts w:hint="eastAsia" w:ascii="宋体" w:hAnsi="宋体" w:eastAsia="宋体" w:cs="宋体"/>
          <w:color w:val="auto"/>
          <w:sz w:val="24"/>
          <w:szCs w:val="24"/>
          <w:highlight w:val="none"/>
          <w:lang w:val="zh-CN"/>
        </w:rPr>
        <w:t>。投标文件中若有英文或其他语言文字的资料，应提供相应的中文翻译资料。对不同文本投标文件的解释发生异议的，以中文文本为准。</w:t>
      </w:r>
    </w:p>
    <w:p w14:paraId="3307498B">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6.2 投标人所使用的计量单位应为国家法定计量单位。</w:t>
      </w:r>
    </w:p>
    <w:p w14:paraId="3307498C">
      <w:pPr>
        <w:autoSpaceDE w:val="0"/>
        <w:autoSpaceDN w:val="0"/>
        <w:spacing w:line="360" w:lineRule="auto"/>
        <w:ind w:firstLine="480" w:firstLine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6.3 投标人应</w:t>
      </w:r>
      <w:r>
        <w:rPr>
          <w:rFonts w:hint="eastAsia" w:ascii="宋体" w:hAnsi="宋体" w:eastAsia="宋体" w:cs="宋体"/>
          <w:color w:val="auto"/>
          <w:sz w:val="24"/>
          <w:szCs w:val="24"/>
          <w:highlight w:val="none"/>
        </w:rPr>
        <w:t>使用</w:t>
      </w:r>
      <w:r>
        <w:rPr>
          <w:rFonts w:hint="eastAsia" w:ascii="宋体" w:hAnsi="宋体" w:eastAsia="宋体" w:cs="宋体"/>
          <w:color w:val="auto"/>
          <w:sz w:val="24"/>
          <w:szCs w:val="24"/>
          <w:highlight w:val="none"/>
          <w:lang w:val="zh-CN"/>
        </w:rPr>
        <w:t>人民币报价。</w:t>
      </w:r>
      <w:r>
        <w:rPr>
          <w:rFonts w:hint="eastAsia" w:ascii="宋体" w:hAnsi="宋体" w:eastAsia="宋体" w:cs="宋体"/>
          <w:b/>
          <w:color w:val="auto"/>
          <w:sz w:val="24"/>
          <w:szCs w:val="24"/>
          <w:highlight w:val="none"/>
          <w:lang w:val="zh-CN"/>
        </w:rPr>
        <w:t>报价产品如果是进口产品的，应以人民币进行报价，不接受其他币种报价。</w:t>
      </w:r>
    </w:p>
    <w:p w14:paraId="3307498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6.4 投标文件应字迹清楚、内容齐全、不得涂改。如有修改，修改处须有投标人公章和法定代表人或其授权的投标人代表签字。</w:t>
      </w:r>
    </w:p>
    <w:p w14:paraId="3307498E">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6.5 投标文件应按照招标文件规定的顺序，统一用A4规格幅面打印、逐页编码、装订成册并编制目录，由于编排混乱导致投标文件被误读或查找不到，责任由投标人承担。</w:t>
      </w:r>
    </w:p>
    <w:p w14:paraId="3307498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6.</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投标人应自行承担所有与准备和参加投标有关的费用。</w:t>
      </w:r>
    </w:p>
    <w:p w14:paraId="33074990">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b/>
          <w:bCs/>
          <w:color w:val="auto"/>
          <w:sz w:val="24"/>
          <w:szCs w:val="24"/>
          <w:highlight w:val="none"/>
          <w:lang w:val="zh-CN"/>
        </w:rPr>
        <w:t>、投标文件组成</w:t>
      </w:r>
    </w:p>
    <w:p w14:paraId="33074991">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 xml:space="preserve"> 投标文件由商务部分、技术部分、价格部分，以及其他部分组成。</w:t>
      </w:r>
    </w:p>
    <w:p w14:paraId="3307499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投标人应当根据招标文件要求编制投标文件，投标文件应对招标文件提出的要求和条件作出实质性响应并逐条标明满足与否。</w:t>
      </w:r>
    </w:p>
    <w:p w14:paraId="33074993">
      <w:pPr>
        <w:spacing w:line="360" w:lineRule="auto"/>
        <w:ind w:firstLine="470" w:firstLineChars="196"/>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投标人根据招标文件载明的标的采购项目实际情况，拟在中标后将中标项目的非主体、非关键性工作交由他人完成的，应当在投标文件中载明。</w:t>
      </w:r>
    </w:p>
    <w:p w14:paraId="33074994">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8、投标文件的商务部分</w:t>
      </w:r>
    </w:p>
    <w:p w14:paraId="33074995">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.1 商务部分是证明投标人有资格参加投标和中标后有能力履行合同的文件，</w:t>
      </w:r>
      <w:r>
        <w:rPr>
          <w:rFonts w:hint="eastAsia" w:ascii="宋体" w:hAnsi="宋体" w:eastAsia="宋体" w:cs="宋体"/>
          <w:color w:val="auto"/>
          <w:sz w:val="24"/>
          <w:szCs w:val="24"/>
          <w:highlight w:val="none"/>
        </w:rPr>
        <w:t>这些文件应能满足招标的要求</w:t>
      </w:r>
      <w:r>
        <w:rPr>
          <w:rFonts w:hint="eastAsia" w:ascii="宋体" w:hAnsi="宋体" w:eastAsia="宋体" w:cs="宋体"/>
          <w:color w:val="auto"/>
          <w:sz w:val="24"/>
          <w:szCs w:val="24"/>
          <w:highlight w:val="none"/>
          <w:lang w:val="zh-CN"/>
        </w:rPr>
        <w:t>，包括但不限于下列文件：</w:t>
      </w:r>
    </w:p>
    <w:p w14:paraId="33074996">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（1）投标函；</w:t>
      </w:r>
    </w:p>
    <w:p w14:paraId="33074997">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（2）营业执照、授权委托书；</w:t>
      </w:r>
    </w:p>
    <w:p w14:paraId="33074998">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（3）法定代表人及授权代表身份证明复印件； </w:t>
      </w:r>
    </w:p>
    <w:p w14:paraId="33074999">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（4）资格条件证明文件、承诺书；   </w:t>
      </w:r>
    </w:p>
    <w:p w14:paraId="3307499A">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（5）《开标一览表》、《商务条款偏离表》等相关附件；</w:t>
      </w:r>
    </w:p>
    <w:p w14:paraId="3307499B">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（6）投标人认为需要提供的其他资格证明文件和商务资料。</w:t>
      </w:r>
    </w:p>
    <w:p w14:paraId="3307499C">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9</w:t>
      </w:r>
      <w:r>
        <w:rPr>
          <w:rFonts w:hint="eastAsia" w:ascii="宋体" w:hAnsi="宋体" w:eastAsia="宋体" w:cs="宋体"/>
          <w:b/>
          <w:bCs/>
          <w:color w:val="auto"/>
          <w:sz w:val="24"/>
          <w:szCs w:val="24"/>
          <w:highlight w:val="none"/>
          <w:lang w:val="zh-CN"/>
        </w:rPr>
        <w:t>、投标文件的技术部分</w:t>
      </w:r>
    </w:p>
    <w:p w14:paraId="3307499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.1 技术部分是证明</w:t>
      </w:r>
      <w:r>
        <w:rPr>
          <w:rFonts w:hint="eastAsia" w:ascii="宋体" w:hAnsi="宋体" w:eastAsia="宋体" w:cs="宋体"/>
          <w:color w:val="auto"/>
          <w:sz w:val="24"/>
          <w:szCs w:val="24"/>
          <w:highlight w:val="none"/>
        </w:rPr>
        <w:t>投标人提供的产品和服务是合格的、并符合招标文件要求的证明文件，以及</w:t>
      </w:r>
      <w:r>
        <w:rPr>
          <w:rFonts w:hint="eastAsia" w:ascii="宋体" w:hAnsi="宋体" w:eastAsia="宋体" w:cs="宋体"/>
          <w:color w:val="auto"/>
          <w:sz w:val="24"/>
          <w:szCs w:val="24"/>
          <w:highlight w:val="none"/>
          <w:lang w:val="zh-CN"/>
        </w:rPr>
        <w:t>对投标报价表中的服务的详细说明，这些文件可以是文字资料、图纸和数据等。</w:t>
      </w:r>
    </w:p>
    <w:p w14:paraId="3307499E">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.2 若技术性能无特殊说明，则按国家有关部门最新颁布的标准及规范为准；</w:t>
      </w:r>
    </w:p>
    <w:p w14:paraId="3307499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.3 提供的服务如与招标文件要求有不符之处，应说明其差别之所在，并在《技术条款偏离表》中逐条予以说明。</w:t>
      </w:r>
    </w:p>
    <w:p w14:paraId="330749A0">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b/>
          <w:color w:val="auto"/>
          <w:sz w:val="24"/>
          <w:szCs w:val="24"/>
          <w:highlight w:val="none"/>
          <w:lang w:val="zh-CN"/>
        </w:rPr>
        <w:t>、投标文件的价格部分</w:t>
      </w:r>
    </w:p>
    <w:p w14:paraId="330749A1">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.1价格部分是对投标服务价格构成的说明，每一项服务仅接受一个价格。</w:t>
      </w:r>
    </w:p>
    <w:p w14:paraId="330749A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2报价应包含为履行本项目合同项下所有义务的全部含税费用（包括但不限于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14:paraId="330749A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.3投标人的任何错漏、优惠、竞争性报价不得作为减轻责任、减少服务、增加收费、降低质量的理由。</w:t>
      </w:r>
    </w:p>
    <w:p w14:paraId="330749A4">
      <w:pPr>
        <w:autoSpaceDE w:val="0"/>
        <w:autoSpaceDN w:val="0"/>
        <w:spacing w:line="360" w:lineRule="auto"/>
        <w:ind w:firstLine="420"/>
        <w:rPr>
          <w:color w:val="auto"/>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zh-CN"/>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30749A5">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投标人应在《开标一览表》、《投标分项报价》等标明提供服务的单价、总价以及分项报价。</w:t>
      </w:r>
    </w:p>
    <w:p w14:paraId="330749A6">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zh-CN"/>
        </w:rPr>
        <w:t>、投标有效期</w:t>
      </w:r>
    </w:p>
    <w:p w14:paraId="330749A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b/>
          <w:bCs/>
          <w:color w:val="auto"/>
          <w:sz w:val="24"/>
          <w:szCs w:val="24"/>
          <w:highlight w:val="none"/>
        </w:rPr>
        <w:t>投标有效期为</w:t>
      </w:r>
      <w:r>
        <w:rPr>
          <w:rFonts w:hint="eastAsia" w:ascii="宋体" w:hAnsi="宋体" w:eastAsia="宋体" w:cs="宋体"/>
          <w:b/>
          <w:bCs/>
          <w:color w:val="auto"/>
          <w:sz w:val="24"/>
          <w:szCs w:val="24"/>
          <w:highlight w:val="none"/>
          <w:lang w:val="zh-CN"/>
        </w:rPr>
        <w:t>90天</w:t>
      </w:r>
      <w:r>
        <w:rPr>
          <w:rFonts w:hint="eastAsia" w:ascii="宋体" w:hAnsi="宋体" w:eastAsia="宋体" w:cs="宋体"/>
          <w:color w:val="auto"/>
          <w:sz w:val="24"/>
          <w:szCs w:val="24"/>
          <w:highlight w:val="none"/>
          <w:lang w:val="zh-CN"/>
        </w:rPr>
        <w:t>，投标有效期从提交投标文件的截止之日起算。投标文件中承诺的投标有效期应当不少于招标文件中载明的投标有效期。</w:t>
      </w:r>
    </w:p>
    <w:p w14:paraId="330749A8">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zh-CN"/>
        </w:rPr>
        <w:t>、投标文件的份数、签署</w:t>
      </w:r>
    </w:p>
    <w:p w14:paraId="330749A9">
      <w:pPr>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.1 投标人应严格按照招标文件要求的份数准备投标文件，每份投标文件须清楚地标明“正本”或“副本”字样。一旦正本和副本不符，以正本为准。</w:t>
      </w:r>
    </w:p>
    <w:p w14:paraId="330749AA">
      <w:pPr>
        <w:spacing w:line="360" w:lineRule="auto"/>
        <w:ind w:firstLine="42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.2 投</w:t>
      </w:r>
      <w:r>
        <w:rPr>
          <w:rFonts w:hint="eastAsia" w:ascii="宋体" w:hAnsi="宋体" w:eastAsia="宋体" w:cs="宋体"/>
          <w:color w:val="auto"/>
          <w:sz w:val="24"/>
          <w:szCs w:val="24"/>
          <w:highlight w:val="none"/>
        </w:rPr>
        <w:t>标文件正本中，文字材料需打印或用不褪色墨水书写，投标文件的正本须经法定代表人或授权代表</w:t>
      </w:r>
      <w:r>
        <w:rPr>
          <w:rFonts w:hint="eastAsia" w:ascii="宋体" w:hAnsi="宋体" w:eastAsia="宋体" w:cs="宋体"/>
          <w:color w:val="auto"/>
          <w:sz w:val="24"/>
          <w:szCs w:val="24"/>
          <w:highlight w:val="none"/>
          <w:lang w:val="zh-CN"/>
        </w:rPr>
        <w:t>签字</w:t>
      </w:r>
      <w:r>
        <w:rPr>
          <w:rFonts w:hint="eastAsia" w:ascii="宋体" w:hAnsi="宋体" w:eastAsia="宋体" w:cs="宋体"/>
          <w:color w:val="auto"/>
          <w:sz w:val="24"/>
          <w:szCs w:val="24"/>
          <w:highlight w:val="none"/>
        </w:rPr>
        <w:t>和加盖投标人公章。本招标文件所表述（指定）的公章是指法定名称章，不包括合同专用章、业务专用章等印章。</w:t>
      </w:r>
    </w:p>
    <w:p w14:paraId="330749AB">
      <w:pPr>
        <w:spacing w:line="360" w:lineRule="auto"/>
        <w:ind w:firstLine="42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.3 </w:t>
      </w:r>
      <w:r>
        <w:rPr>
          <w:rFonts w:hint="eastAsia" w:ascii="宋体" w:hAnsi="宋体" w:eastAsia="宋体" w:cs="宋体"/>
          <w:bCs/>
          <w:color w:val="auto"/>
          <w:sz w:val="24"/>
          <w:szCs w:val="24"/>
          <w:highlight w:val="none"/>
        </w:rPr>
        <w:t>除投标人对错处做必要修改外，投标文件不得行间插字、涂改或增删。如有修改错漏处，必须由投标文件签署人签字或盖章。</w:t>
      </w:r>
    </w:p>
    <w:p w14:paraId="330749AC">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zh-CN"/>
        </w:rPr>
        <w:t>、投标文件的密封和递交</w:t>
      </w:r>
    </w:p>
    <w:p w14:paraId="330749A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13.1投标文件接收要求：（1）</w:t>
      </w:r>
      <w:r>
        <w:rPr>
          <w:rFonts w:hint="eastAsia" w:ascii="宋体" w:hAnsi="宋体" w:eastAsia="宋体" w:cs="宋体"/>
          <w:b/>
          <w:bCs/>
          <w:color w:val="auto"/>
          <w:sz w:val="24"/>
          <w:szCs w:val="24"/>
          <w:highlight w:val="none"/>
        </w:rPr>
        <w:t>纸质投标文件一式五份</w:t>
      </w:r>
      <w:r>
        <w:rPr>
          <w:rFonts w:hint="eastAsia" w:ascii="宋体" w:hAnsi="宋体" w:eastAsia="宋体" w:cs="宋体"/>
          <w:color w:val="auto"/>
          <w:sz w:val="24"/>
          <w:szCs w:val="24"/>
          <w:highlight w:val="none"/>
        </w:rPr>
        <w:t>，其中正本一份、副本四份，在标书封面标注“正本”、“副本”字样，标书密封并在封口处加盖公章。</w:t>
      </w:r>
    </w:p>
    <w:p w14:paraId="330749AE">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（2）电子版U盘1份</w:t>
      </w:r>
      <w:r>
        <w:rPr>
          <w:rFonts w:hint="eastAsia" w:ascii="宋体" w:hAnsi="宋体" w:eastAsia="宋体" w:cs="宋体"/>
          <w:color w:val="auto"/>
          <w:sz w:val="24"/>
          <w:szCs w:val="24"/>
          <w:highlight w:val="none"/>
        </w:rPr>
        <w:t>（须包含投标文件word格式和pdf格式，pdf格式须加盖公司公章）</w:t>
      </w:r>
    </w:p>
    <w:p w14:paraId="330749AF">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i/>
          <w:color w:val="auto"/>
          <w:sz w:val="24"/>
          <w:highlight w:val="none"/>
          <w:u w:val="single"/>
        </w:rPr>
        <w:t>（3）开标一览表必须加</w:t>
      </w:r>
      <w:r>
        <w:rPr>
          <w:rFonts w:hint="eastAsia" w:ascii="宋体" w:hAnsi="宋体" w:eastAsia="宋体" w:cs="宋体"/>
          <w:b/>
          <w:bCs/>
          <w:i/>
          <w:iCs/>
          <w:color w:val="auto"/>
          <w:sz w:val="24"/>
          <w:highlight w:val="none"/>
          <w:u w:val="single"/>
        </w:rPr>
        <w:t>盖投标人公章（复印件无效）且授权代表签字，需单独密封在信封中，在投标截止时间前与投标文件分别递交，否</w:t>
      </w:r>
      <w:r>
        <w:rPr>
          <w:rFonts w:hint="eastAsia" w:ascii="宋体" w:hAnsi="宋体" w:eastAsia="宋体" w:cs="宋体"/>
          <w:b/>
          <w:i/>
          <w:color w:val="auto"/>
          <w:sz w:val="24"/>
          <w:highlight w:val="none"/>
          <w:u w:val="single"/>
        </w:rPr>
        <w:t>则视为无效投标。</w:t>
      </w:r>
      <w:r>
        <w:rPr>
          <w:rFonts w:hint="eastAsia" w:ascii="宋体" w:hAnsi="宋体" w:eastAsia="宋体" w:cs="宋体"/>
          <w:color w:val="auto"/>
          <w:sz w:val="24"/>
          <w:szCs w:val="24"/>
          <w:highlight w:val="none"/>
        </w:rPr>
        <w:t>如有分包，投标人投标任何一个分包，都需单独提交开标一览表。</w:t>
      </w:r>
    </w:p>
    <w:p w14:paraId="330749B0">
      <w:pPr>
        <w:spacing w:line="360" w:lineRule="auto"/>
        <w:ind w:firstLine="480" w:firstLine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13.2 逾期送达及未按要求密封的投标文件，采购人不予接收。</w:t>
      </w:r>
    </w:p>
    <w:p w14:paraId="330749B1">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zh-CN"/>
        </w:rPr>
        <w:t>、投标文件的修改和撤回</w:t>
      </w:r>
    </w:p>
    <w:p w14:paraId="330749B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.1 投标人在投标截止时间前，可以对所递交的投标文件进行补充、修改或撤回，并书面通知</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。补充、修改的内容应当按照招标文件要求签署、盖章，并作为投标文件的组成部分。</w:t>
      </w:r>
    </w:p>
    <w:p w14:paraId="330749B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.2 投标截止时间之后，投标文件不得撤回。 </w:t>
      </w:r>
    </w:p>
    <w:p w14:paraId="330749B4">
      <w:pPr>
        <w:spacing w:line="360" w:lineRule="auto"/>
        <w:ind w:firstLine="472" w:firstLineChars="196"/>
        <w:rPr>
          <w:rFonts w:ascii="宋体" w:hAnsi="宋体" w:eastAsia="宋体" w:cs="宋体"/>
          <w:b/>
          <w:color w:val="auto"/>
          <w:sz w:val="24"/>
          <w:szCs w:val="24"/>
          <w:highlight w:val="none"/>
          <w:lang w:val="zh-CN"/>
        </w:rPr>
      </w:pPr>
      <w:bookmarkStart w:id="33" w:name="_Toc17243"/>
      <w:bookmarkStart w:id="34" w:name="_Toc21540"/>
      <w:r>
        <w:rPr>
          <w:rFonts w:hint="eastAsia" w:ascii="宋体" w:hAnsi="宋体" w:eastAsia="宋体" w:cs="宋体"/>
          <w:b/>
          <w:color w:val="auto"/>
          <w:sz w:val="24"/>
          <w:szCs w:val="24"/>
          <w:highlight w:val="none"/>
          <w:lang w:val="zh-CN"/>
        </w:rPr>
        <w:t>四、开标、评标与确定中标投标人</w:t>
      </w:r>
      <w:bookmarkEnd w:id="33"/>
      <w:bookmarkEnd w:id="34"/>
    </w:p>
    <w:p w14:paraId="330749B5">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15</w:t>
      </w:r>
      <w:r>
        <w:rPr>
          <w:rFonts w:hint="eastAsia" w:ascii="宋体" w:hAnsi="宋体" w:eastAsia="宋体" w:cs="宋体"/>
          <w:b/>
          <w:bCs/>
          <w:color w:val="auto"/>
          <w:sz w:val="24"/>
          <w:szCs w:val="24"/>
          <w:highlight w:val="none"/>
          <w:lang w:val="zh-CN"/>
        </w:rPr>
        <w:t>、开标</w:t>
      </w:r>
    </w:p>
    <w:p w14:paraId="330749B6">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 xml:space="preserve">.1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将在招标文件确定的时间和地点进行公开开标，</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zh-CN"/>
        </w:rPr>
        <w:t>代表</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zh-CN"/>
        </w:rPr>
        <w:t>准时参加。</w:t>
      </w:r>
    </w:p>
    <w:p w14:paraId="330749B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.2 开标时，</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将邀请投标人代表检查投标文件的密封情况，经确认无误后，由工作人员当众拆封，宣读投标人名称、投标价格</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zh-CN"/>
        </w:rPr>
        <w:t xml:space="preserve">主要内容。 </w:t>
      </w:r>
    </w:p>
    <w:p w14:paraId="330749B8">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开标时，《开标一览表》内容与投标文件中相应内容不一致的，以《开标一览表》为准。</w:t>
      </w:r>
    </w:p>
    <w:p w14:paraId="330749B9">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 投标文件、《开标一览表》中报价的大写金额与小写金额不一致的，以大写金额为准。</w:t>
      </w:r>
    </w:p>
    <w:p w14:paraId="330749B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 xml:space="preserve"> 单价金额小数点或者百分比有明显错位的，以《开标一览表》的总价为准，并修改单价；</w:t>
      </w:r>
    </w:p>
    <w:p w14:paraId="330749BB">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 xml:space="preserve"> 总价金额与按单价汇总金额不一致的，以单价金额计算结果为准；</w:t>
      </w:r>
    </w:p>
    <w:p w14:paraId="330749BC">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 xml:space="preserve">  对不同文字文本投标文件的解释发生异议的，以中文文本为准。</w:t>
      </w:r>
    </w:p>
    <w:p w14:paraId="330749BD">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、评标</w:t>
      </w:r>
    </w:p>
    <w:p w14:paraId="330749BE">
      <w:pPr>
        <w:autoSpaceDE w:val="0"/>
        <w:autoSpaceDN w:val="0"/>
        <w:spacing w:line="360" w:lineRule="auto"/>
        <w:ind w:firstLine="42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val="zh-CN"/>
        </w:rPr>
        <w:t>.1</w:t>
      </w:r>
      <w:r>
        <w:rPr>
          <w:rFonts w:hint="eastAsia" w:ascii="宋体" w:hAnsi="宋体" w:eastAsia="宋体" w:cs="宋体"/>
          <w:b/>
          <w:bCs/>
          <w:color w:val="auto"/>
          <w:sz w:val="24"/>
          <w:szCs w:val="24"/>
          <w:highlight w:val="none"/>
          <w:lang w:val="zh-CN"/>
        </w:rPr>
        <w:t xml:space="preserve"> </w:t>
      </w:r>
      <w:r>
        <w:rPr>
          <w:rFonts w:hint="eastAsia" w:ascii="宋体" w:hAnsi="宋体" w:eastAsia="宋体" w:cs="宋体"/>
          <w:b/>
          <w:bCs/>
          <w:color w:val="auto"/>
          <w:sz w:val="24"/>
          <w:szCs w:val="24"/>
          <w:highlight w:val="none"/>
        </w:rPr>
        <w:t>评标组织</w:t>
      </w:r>
    </w:p>
    <w:p w14:paraId="330749B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评标工作由</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负责组织，具体评标事务由依法组建的评标委员会负责，评标委员会由采购人代表和有关技术、经济等方面的专家组成，独立开展评审工作。</w:t>
      </w:r>
    </w:p>
    <w:p w14:paraId="330749C0">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.2 评标程序</w:t>
      </w:r>
    </w:p>
    <w:p w14:paraId="330749C1">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16</w:t>
      </w:r>
      <w:r>
        <w:rPr>
          <w:rFonts w:hint="eastAsia" w:ascii="宋体" w:hAnsi="宋体" w:eastAsia="宋体" w:cs="宋体"/>
          <w:b/>
          <w:color w:val="auto"/>
          <w:sz w:val="24"/>
          <w:szCs w:val="24"/>
          <w:highlight w:val="none"/>
          <w:lang w:val="zh-CN"/>
        </w:rPr>
        <w:t>.2.1 投标文件的资格审查</w:t>
      </w:r>
    </w:p>
    <w:p w14:paraId="330749C2">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采购人将依法对投标人投标文件中的资格证明文件的资格进行审查：以确定投标投标人是否具备投标资格。 同时，将在“信用中国”网站（www.creditchina.gov.cn）、“中国 政府采购网"(www.ccgp.gov.cn)对投标人是否被列入失信被执行人、重大税收违法失信主体、政府采购严重违法失信行为记录名单的情况进行查询，以确定投标投标人是否具备投标资格。</w:t>
      </w:r>
    </w:p>
    <w:p w14:paraId="330749C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投标文件有下列情况之一的，在资格性审查时按照无效投标处理： </w:t>
      </w:r>
    </w:p>
    <w:p w14:paraId="330749C4">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（1）不具备招标文件中规定资格条件的；</w:t>
      </w:r>
    </w:p>
    <w:p w14:paraId="330749C5">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投标人被“信用中国”网站（www.creditchina.gov.cn）、“中国政府采购网"(www.ccgp.gov.cn) 列入失信被执行人、重大税收违法失信主体、政府采购严重违法失信行为记录名单的 </w:t>
      </w:r>
    </w:p>
    <w:p w14:paraId="330749C6">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.2.2 投标文件的符合性审查</w:t>
      </w:r>
    </w:p>
    <w:p w14:paraId="330749C7">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330749C8">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投标文件有下列情况之一的，在符合性审查时按照无效投标处理： </w:t>
      </w:r>
    </w:p>
    <w:p w14:paraId="330749C9">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（1）未按照招标文件规定要求密封、签署、盖章的； </w:t>
      </w:r>
    </w:p>
    <w:p w14:paraId="330749CA">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（2）投标总价超出采购预算金额或者最高限价的； </w:t>
      </w:r>
    </w:p>
    <w:p w14:paraId="330749CB">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（3）不同投标人的投标文件由同一单位或者个人编制； </w:t>
      </w:r>
    </w:p>
    <w:p w14:paraId="330749CC">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（4）不同投标人委托同一单位或者个人办理投标事宜； </w:t>
      </w:r>
    </w:p>
    <w:p w14:paraId="330749CD">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（5）不同投标人的投标文件载明的项目管理成员或者联系人员为同一人； </w:t>
      </w:r>
    </w:p>
    <w:p w14:paraId="330749CE">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（6）不同投标人的投标文件异常一致或者投标报价呈规律性差异； </w:t>
      </w:r>
    </w:p>
    <w:p w14:paraId="330749C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（7）不同投标人的投标文件相互混装； </w:t>
      </w:r>
    </w:p>
    <w:p w14:paraId="330749D0">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（8）不同投标人的法定代表人或委托代理人有夫妻、直系血亲关系的； </w:t>
      </w:r>
    </w:p>
    <w:p w14:paraId="330749D1">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（9）不同投标人的负责人为同一人或者存在控股、管理关系的； </w:t>
      </w:r>
    </w:p>
    <w:p w14:paraId="330749D2">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（10）没有逐一说明投标产品名称、品牌、规格型号、产地、技术参数和服务响应，而是直接拷贝招标文件技术要求的； </w:t>
      </w:r>
    </w:p>
    <w:p w14:paraId="330749D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（11）不同投标人的委托代理人(或法定代表人、项目经理、项目总监、项目负责人等)在采购文件发布日上月至投标截止日当月在同一单位缴纳社会保险的；</w:t>
      </w:r>
    </w:p>
    <w:p w14:paraId="330749D4">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（12）服务承诺和付款条件未响应招标要求的； </w:t>
      </w:r>
    </w:p>
    <w:p w14:paraId="330749D5">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（13）投标文件含有采购人不能接受的附加条件的； </w:t>
      </w:r>
    </w:p>
    <w:p w14:paraId="330749D6">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330749D7">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（15）不符合法律、法规和招标文件规定的其他无效情形。</w:t>
      </w:r>
    </w:p>
    <w:p w14:paraId="330749D8">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zh-CN"/>
        </w:rPr>
        <w:t xml:space="preserve"> 投标文件的</w:t>
      </w:r>
      <w:r>
        <w:rPr>
          <w:rFonts w:hint="eastAsia" w:ascii="宋体" w:hAnsi="宋体" w:eastAsia="宋体" w:cs="宋体"/>
          <w:b/>
          <w:bCs/>
          <w:color w:val="auto"/>
          <w:sz w:val="24"/>
          <w:szCs w:val="24"/>
          <w:highlight w:val="none"/>
        </w:rPr>
        <w:t>进一步评审</w:t>
      </w:r>
      <w:r>
        <w:rPr>
          <w:rFonts w:hint="eastAsia" w:ascii="宋体" w:hAnsi="宋体" w:eastAsia="宋体" w:cs="宋体"/>
          <w:color w:val="auto"/>
          <w:sz w:val="24"/>
          <w:szCs w:val="24"/>
          <w:highlight w:val="none"/>
        </w:rPr>
        <w:t xml:space="preserve"> </w:t>
      </w:r>
    </w:p>
    <w:p w14:paraId="330749D9">
      <w:pPr>
        <w:autoSpaceDE w:val="0"/>
        <w:autoSpaceDN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330749DA">
      <w:pPr>
        <w:autoSpaceDE w:val="0"/>
        <w:autoSpaceDN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330749DB">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17</w:t>
      </w:r>
      <w:r>
        <w:rPr>
          <w:rFonts w:hint="eastAsia" w:ascii="宋体" w:hAnsi="宋体" w:eastAsia="宋体" w:cs="宋体"/>
          <w:b/>
          <w:bCs/>
          <w:color w:val="auto"/>
          <w:sz w:val="24"/>
          <w:szCs w:val="24"/>
          <w:highlight w:val="none"/>
          <w:lang w:val="zh-CN"/>
        </w:rPr>
        <w:t xml:space="preserve">. </w:t>
      </w:r>
      <w:r>
        <w:rPr>
          <w:rFonts w:hint="eastAsia" w:ascii="宋体" w:hAnsi="宋体" w:eastAsia="宋体" w:cs="宋体"/>
          <w:b/>
          <w:bCs/>
          <w:color w:val="auto"/>
          <w:sz w:val="24"/>
          <w:szCs w:val="24"/>
          <w:highlight w:val="none"/>
        </w:rPr>
        <w:t>废标情形</w:t>
      </w:r>
    </w:p>
    <w:p w14:paraId="330749DC">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有下列情形之一的予以废标： </w:t>
      </w:r>
    </w:p>
    <w:p w14:paraId="330749DD">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（1）符合资质条件的投标人或者对招标文件作实质性响应的投标人不足三家的； </w:t>
      </w:r>
    </w:p>
    <w:p w14:paraId="330749DE">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330749D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（3）投标人的报价均超过了采购预算或最高限价的，采购人不能支付的； </w:t>
      </w:r>
    </w:p>
    <w:p w14:paraId="330749E0">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（4）因重大变故，采购任务取消的；</w:t>
      </w:r>
    </w:p>
    <w:p w14:paraId="330749E1">
      <w:pPr>
        <w:autoSpaceDE w:val="0"/>
        <w:autoSpaceDN w:val="0"/>
        <w:spacing w:line="360" w:lineRule="auto"/>
        <w:ind w:firstLine="420"/>
        <w:rPr>
          <w:color w:val="auto"/>
          <w:highlight w:val="none"/>
        </w:rPr>
      </w:pPr>
      <w:r>
        <w:rPr>
          <w:rFonts w:hint="eastAsia" w:ascii="宋体" w:hAnsi="宋体" w:eastAsia="宋体" w:cs="宋体"/>
          <w:color w:val="auto"/>
          <w:sz w:val="24"/>
          <w:szCs w:val="24"/>
          <w:highlight w:val="none"/>
        </w:rPr>
        <w:t xml:space="preserve">（5）投标文件存在歧义、重大缺陷，或者招标文件内容违反国家有关强制性规定的。 </w:t>
      </w:r>
    </w:p>
    <w:p w14:paraId="330749E2">
      <w:pPr>
        <w:autoSpaceDE w:val="0"/>
        <w:autoSpaceDN w:val="0"/>
        <w:spacing w:line="360" w:lineRule="auto"/>
        <w:ind w:firstLine="482" w:firstLineChars="20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18</w:t>
      </w:r>
      <w:r>
        <w:rPr>
          <w:rFonts w:hint="eastAsia" w:ascii="宋体" w:hAnsi="宋体" w:eastAsia="宋体" w:cs="宋体"/>
          <w:b/>
          <w:bCs/>
          <w:color w:val="auto"/>
          <w:sz w:val="24"/>
          <w:szCs w:val="24"/>
          <w:highlight w:val="none"/>
          <w:lang w:val="zh-CN"/>
        </w:rPr>
        <w:t>、确定中标投标人</w:t>
      </w:r>
    </w:p>
    <w:p w14:paraId="330749E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采用综合评分法，评标结果按评审后得分由高到低顺序排列。得分相同的，按投标报价由低到高顺序排列。得分且投标报价相同的并列</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投标文件满足招标文件全部实质性要求，且按照评审因素的量化指标评审得分最高的投标人为排名第一的中标候选人。</w:t>
      </w:r>
    </w:p>
    <w:p w14:paraId="330749E4">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val="zh-CN"/>
        </w:rPr>
        <w:t>.2中标投标人确定之日起2个工作日内，将在</w:t>
      </w:r>
      <w:r>
        <w:rPr>
          <w:rFonts w:hint="eastAsia" w:ascii="宋体" w:hAnsi="宋体" w:eastAsia="宋体" w:cs="宋体"/>
          <w:color w:val="auto"/>
          <w:sz w:val="24"/>
          <w:szCs w:val="24"/>
          <w:highlight w:val="none"/>
        </w:rPr>
        <w:t>南京医科大学官方网站发布中标</w:t>
      </w:r>
      <w:r>
        <w:rPr>
          <w:rFonts w:hint="eastAsia" w:ascii="宋体" w:hAnsi="宋体" w:eastAsia="宋体" w:cs="宋体"/>
          <w:color w:val="auto"/>
          <w:sz w:val="24"/>
          <w:szCs w:val="24"/>
          <w:highlight w:val="none"/>
          <w:lang w:val="zh-CN"/>
        </w:rPr>
        <w:t>公告，中标人及时领取《中标通知书》。</w:t>
      </w:r>
    </w:p>
    <w:p w14:paraId="330749E5">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3中标通知书发出后，中标投标人无正当理由不与采购人签订合同的；情节严重的，将其列入不良行为记录名单，在一至三年内禁止参加采购人组织的政府采购活动。</w:t>
      </w:r>
    </w:p>
    <w:p w14:paraId="330749E6">
      <w:pPr>
        <w:tabs>
          <w:tab w:val="left" w:pos="1260"/>
        </w:tabs>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18.4采购人</w:t>
      </w:r>
      <w:r>
        <w:rPr>
          <w:rFonts w:hint="eastAsia" w:ascii="宋体" w:hAnsi="宋体" w:eastAsia="宋体" w:cs="宋体"/>
          <w:color w:val="auto"/>
          <w:sz w:val="24"/>
          <w:szCs w:val="24"/>
          <w:highlight w:val="none"/>
          <w:lang w:val="zh-CN"/>
        </w:rPr>
        <w:t>和评标委员会</w:t>
      </w:r>
      <w:r>
        <w:rPr>
          <w:rFonts w:hint="eastAsia" w:ascii="宋体" w:hAnsi="宋体" w:eastAsia="宋体" w:cs="宋体"/>
          <w:color w:val="auto"/>
          <w:sz w:val="24"/>
          <w:szCs w:val="24"/>
          <w:highlight w:val="none"/>
        </w:rPr>
        <w:t>对未中标的投标人不作未中标原因的解释。</w:t>
      </w:r>
    </w:p>
    <w:p w14:paraId="330749E7">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18.5所有投标文件都将作为档案保存，不论中标与否，采购人均不退回。</w:t>
      </w:r>
    </w:p>
    <w:p w14:paraId="330749E8">
      <w:pPr>
        <w:autoSpaceDE w:val="0"/>
        <w:autoSpaceDN w:val="0"/>
        <w:spacing w:line="360" w:lineRule="auto"/>
        <w:ind w:firstLine="472" w:firstLineChars="196"/>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w:t>
      </w:r>
      <w:r>
        <w:rPr>
          <w:rFonts w:hint="eastAsia" w:ascii="宋体" w:hAnsi="宋体" w:eastAsia="宋体" w:cs="宋体"/>
          <w:b/>
          <w:bCs/>
          <w:color w:val="auto"/>
          <w:sz w:val="24"/>
          <w:szCs w:val="24"/>
          <w:highlight w:val="none"/>
          <w:lang w:val="zh-CN"/>
        </w:rPr>
        <w:t>、</w:t>
      </w:r>
      <w:r>
        <w:rPr>
          <w:rFonts w:hint="eastAsia" w:ascii="宋体" w:hAnsi="宋体" w:eastAsia="宋体" w:cs="宋体"/>
          <w:b/>
          <w:color w:val="auto"/>
          <w:sz w:val="24"/>
          <w:szCs w:val="24"/>
          <w:highlight w:val="none"/>
        </w:rPr>
        <w:t>编写评标报告</w:t>
      </w:r>
    </w:p>
    <w:p w14:paraId="330749E9">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评标委员会根据全体评标成员签字的原始评标记录和评标结果编写评标报告。</w:t>
      </w:r>
    </w:p>
    <w:p w14:paraId="330749EA">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20</w:t>
      </w:r>
      <w:r>
        <w:rPr>
          <w:rFonts w:hint="eastAsia" w:ascii="宋体" w:hAnsi="宋体" w:eastAsia="宋体" w:cs="宋体"/>
          <w:b/>
          <w:color w:val="auto"/>
          <w:sz w:val="24"/>
          <w:szCs w:val="24"/>
          <w:highlight w:val="none"/>
          <w:lang w:val="zh-CN"/>
        </w:rPr>
        <w:t>、评标过程的保密性</w:t>
      </w:r>
    </w:p>
    <w:p w14:paraId="330749EB">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 xml:space="preserve">.1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将采取必要措施，保证评标在严格保密的情况下进行。</w:t>
      </w:r>
    </w:p>
    <w:p w14:paraId="330749EC">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.2 任何单位和个人不得非法干预、影响评标办法的确定，以及评标过程和结果。</w:t>
      </w:r>
    </w:p>
    <w:p w14:paraId="330749E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.3 凡是与审查、澄清、评价和比较投标的有关资料等，均不向投标人及与评标无关的其他人员透露。</w:t>
      </w:r>
    </w:p>
    <w:p w14:paraId="330749EE">
      <w:pPr>
        <w:pStyle w:val="36"/>
        <w:rPr>
          <w:rFonts w:ascii="宋体" w:hAnsi="宋体" w:cs="宋体"/>
          <w:b/>
          <w:color w:val="auto"/>
          <w:highlight w:val="none"/>
        </w:rPr>
      </w:pPr>
      <w:bookmarkStart w:id="35" w:name="_Toc16938553"/>
      <w:bookmarkStart w:id="36" w:name="_Toc20823309"/>
      <w:bookmarkStart w:id="37" w:name="_Toc513029237"/>
      <w:r>
        <w:rPr>
          <w:rFonts w:hint="eastAsia" w:ascii="宋体" w:hAnsi="宋体" w:cs="宋体"/>
          <w:b/>
          <w:color w:val="auto"/>
          <w:highlight w:val="none"/>
        </w:rPr>
        <w:t>21、样品</w:t>
      </w:r>
    </w:p>
    <w:p w14:paraId="330749E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项目要求提供样品的，中标人的样品由采购人负责保管、</w:t>
      </w:r>
      <w:r>
        <w:rPr>
          <w:rFonts w:hint="eastAsia" w:ascii="宋体" w:hAnsi="宋体" w:eastAsia="宋体" w:cs="宋体"/>
          <w:color w:val="auto"/>
          <w:sz w:val="24"/>
          <w:szCs w:val="24"/>
          <w:highlight w:val="none"/>
        </w:rPr>
        <w:t>封</w:t>
      </w:r>
      <w:r>
        <w:rPr>
          <w:rFonts w:hint="eastAsia" w:ascii="宋体" w:hAnsi="宋体" w:eastAsia="宋体" w:cs="宋体"/>
          <w:color w:val="auto"/>
          <w:sz w:val="24"/>
          <w:szCs w:val="24"/>
          <w:highlight w:val="none"/>
          <w:lang w:val="zh-CN"/>
        </w:rPr>
        <w:t>存，并作为履约验收的参考</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lang w:val="zh-CN"/>
        </w:rPr>
        <w:t>未中标人的样品将及时退还。</w:t>
      </w:r>
      <w:bookmarkEnd w:id="35"/>
      <w:bookmarkEnd w:id="36"/>
      <w:bookmarkEnd w:id="37"/>
    </w:p>
    <w:p w14:paraId="330749F0">
      <w:pPr>
        <w:spacing w:line="360" w:lineRule="auto"/>
        <w:ind w:firstLine="472" w:firstLineChars="196"/>
        <w:rPr>
          <w:rFonts w:ascii="宋体" w:hAnsi="宋体" w:eastAsia="宋体" w:cs="宋体"/>
          <w:b/>
          <w:color w:val="auto"/>
          <w:sz w:val="24"/>
          <w:szCs w:val="24"/>
          <w:highlight w:val="none"/>
          <w:lang w:val="zh-CN"/>
        </w:rPr>
      </w:pPr>
      <w:bookmarkStart w:id="38" w:name="_Toc10016"/>
      <w:bookmarkStart w:id="39" w:name="_Toc5321"/>
      <w:r>
        <w:rPr>
          <w:rFonts w:hint="eastAsia" w:ascii="宋体" w:hAnsi="宋体" w:eastAsia="宋体" w:cs="宋体"/>
          <w:b/>
          <w:color w:val="auto"/>
          <w:sz w:val="24"/>
          <w:szCs w:val="24"/>
          <w:highlight w:val="none"/>
          <w:lang w:val="zh-CN"/>
        </w:rPr>
        <w:t>五、签订合同</w:t>
      </w:r>
      <w:bookmarkEnd w:id="38"/>
      <w:bookmarkEnd w:id="39"/>
    </w:p>
    <w:p w14:paraId="330749F1">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zh-CN"/>
        </w:rPr>
        <w:t>、签订合同</w:t>
      </w:r>
    </w:p>
    <w:p w14:paraId="330749F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.1 采购人应当自中标通知书发出之日起30日内，按照招标文件和中标人投标文件的规定与中标人签订书面合同。所签订的合同不得对招标文件确定事项和中标人投标文件作实质性修改。</w:t>
      </w:r>
    </w:p>
    <w:p w14:paraId="330749F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采购人不得向中标人提出任何不合理的要求作为签订合同的条件，不得与中标人私下订立背离合同实质性内容的协议。</w:t>
      </w:r>
    </w:p>
    <w:p w14:paraId="330749F4">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.3中标人拒绝与采购人签订合同，或因不可抗力或者自身原因不能履行政府采购合同的，采购人可以按照评审报告中的得分高低顺序，确定下一顺序投标人为中标人，也可以重新开展政府采购活动。</w:t>
      </w:r>
    </w:p>
    <w:p w14:paraId="330749F5">
      <w:pPr>
        <w:pStyle w:val="36"/>
        <w:rPr>
          <w:color w:val="auto"/>
          <w:highlight w:val="none"/>
          <w:lang w:val="zh-CN"/>
        </w:rPr>
      </w:pPr>
      <w:r>
        <w:rPr>
          <w:rFonts w:hint="eastAsia" w:ascii="宋体" w:hAnsi="宋体" w:cs="宋体"/>
          <w:color w:val="auto"/>
          <w:highlight w:val="none"/>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330749F6">
      <w:pPr>
        <w:spacing w:line="360" w:lineRule="auto"/>
        <w:ind w:firstLine="472" w:firstLineChars="196"/>
        <w:rPr>
          <w:rFonts w:ascii="宋体" w:hAnsi="宋体" w:eastAsia="宋体" w:cs="宋体"/>
          <w:b/>
          <w:color w:val="auto"/>
          <w:sz w:val="24"/>
          <w:szCs w:val="24"/>
          <w:highlight w:val="none"/>
          <w:lang w:val="zh-CN"/>
        </w:rPr>
      </w:pPr>
      <w:bookmarkStart w:id="40" w:name="_Toc241"/>
      <w:bookmarkStart w:id="41" w:name="_Toc3868"/>
      <w:r>
        <w:rPr>
          <w:rFonts w:hint="eastAsia" w:ascii="宋体" w:hAnsi="宋体" w:eastAsia="宋体" w:cs="宋体"/>
          <w:b/>
          <w:color w:val="auto"/>
          <w:sz w:val="24"/>
          <w:szCs w:val="24"/>
          <w:highlight w:val="none"/>
          <w:lang w:val="zh-CN"/>
        </w:rPr>
        <w:t>六、质疑</w:t>
      </w:r>
      <w:r>
        <w:rPr>
          <w:rFonts w:hint="eastAsia" w:ascii="宋体" w:hAnsi="宋体" w:eastAsia="宋体" w:cs="宋体"/>
          <w:b/>
          <w:color w:val="auto"/>
          <w:sz w:val="24"/>
          <w:szCs w:val="24"/>
          <w:highlight w:val="none"/>
        </w:rPr>
        <w:t>和</w:t>
      </w:r>
      <w:r>
        <w:rPr>
          <w:rFonts w:hint="eastAsia" w:ascii="宋体" w:hAnsi="宋体" w:eastAsia="宋体" w:cs="宋体"/>
          <w:b/>
          <w:color w:val="auto"/>
          <w:sz w:val="24"/>
          <w:szCs w:val="24"/>
          <w:highlight w:val="none"/>
          <w:lang w:val="zh-CN"/>
        </w:rPr>
        <w:t>投诉</w:t>
      </w:r>
      <w:bookmarkEnd w:id="40"/>
      <w:bookmarkEnd w:id="41"/>
    </w:p>
    <w:p w14:paraId="330749F7">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val="zh-CN"/>
        </w:rPr>
        <w:t>、质疑</w:t>
      </w:r>
    </w:p>
    <w:p w14:paraId="330749F8">
      <w:pPr>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.1 投标人认为采购文件、采购过程和中标结果使自己的合法权益受到损害的，可以在知道或者应当知道其权益受到损害之日起七个工作日内，将质疑文件原件以书面形式送达</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w:t>
      </w:r>
    </w:p>
    <w:p w14:paraId="330749F9">
      <w:pPr>
        <w:spacing w:line="360" w:lineRule="auto"/>
        <w:ind w:firstLine="468" w:firstLineChars="19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.2 质疑投标人是指直接参加本次投标活动的投标人，未参加投标活动的投标人或在投标活动中自身权益未受到损害的投标人所提出的质疑不予受理。</w:t>
      </w:r>
    </w:p>
    <w:p w14:paraId="330749F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.3 质疑必须以参加投标投标人法定代表人或授权代表（投标文件中所确定的）原件送达的方式提交，否则，采购人有权不予受理。  </w:t>
      </w:r>
    </w:p>
    <w:p w14:paraId="330749FB">
      <w:pPr>
        <w:autoSpaceDE w:val="0"/>
        <w:autoSpaceDN w:val="0"/>
        <w:spacing w:line="360" w:lineRule="auto"/>
        <w:ind w:firstLine="480" w:firstLine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lang w:val="zh-CN"/>
        </w:rPr>
        <w:t xml:space="preserve"> 质疑文件应包括以下主要内容，并按照“谁主张、谁举证”的原则，附上相关证明材料。否则，采购人或采购人不予受理：</w:t>
      </w:r>
    </w:p>
    <w:p w14:paraId="330749FC">
      <w:pPr>
        <w:autoSpaceDE w:val="0"/>
        <w:autoSpaceDN w:val="0"/>
        <w:spacing w:line="360" w:lineRule="auto"/>
        <w:ind w:left="440" w:left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（1）质疑项目名称、项目编号、包号、招标公告发布时间、开标时间；</w:t>
      </w:r>
    </w:p>
    <w:p w14:paraId="330749F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（2）提起质疑的日期、具体的质疑事项及事实根据（具体条款）；</w:t>
      </w:r>
    </w:p>
    <w:p w14:paraId="330749FE">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（3）认为自己合法权益受到损害或可能受到损害的相关证据材料。质疑相关证明材料中如涉及到产品功能或技术指标的，应出具相关制造商的证明文件；</w:t>
      </w:r>
    </w:p>
    <w:p w14:paraId="330749F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（4）质疑投标人名称、地址、邮编、联系人、联系电话；</w:t>
      </w:r>
    </w:p>
    <w:p w14:paraId="33074A00">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（5）质疑文件应当署名，质疑人为自然人的，应当由本人签字并附有效身份证明；质疑人为法人或其他组织的，应当由法定代表人签字并加盖单位公章。</w:t>
      </w:r>
    </w:p>
    <w:p w14:paraId="33074A01">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在收到投标人的书面质疑后将及时组织调查核实，在七个工作日内作出答复，答复的内容不涉及商业秘密。</w:t>
      </w:r>
    </w:p>
    <w:p w14:paraId="33074A0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zh-CN"/>
        </w:rPr>
        <w:t>、投诉</w:t>
      </w:r>
    </w:p>
    <w:p w14:paraId="33074A0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质疑投标人对</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的答复不满意，或未在规定的时间内作出答复的，可以在答复期满后十五个工作日内向采购项目同级财政部门投诉。</w:t>
      </w:r>
    </w:p>
    <w:p w14:paraId="33074A04">
      <w:pPr>
        <w:pStyle w:val="36"/>
        <w:rPr>
          <w:rFonts w:ascii="宋体" w:hAnsi="宋体" w:cs="宋体"/>
          <w:color w:val="auto"/>
          <w:highlight w:val="none"/>
          <w:lang w:val="zh-CN"/>
        </w:rPr>
      </w:pPr>
    </w:p>
    <w:p w14:paraId="33074A05">
      <w:pPr>
        <w:pStyle w:val="36"/>
        <w:rPr>
          <w:rFonts w:ascii="宋体" w:hAnsi="宋体" w:cs="宋体"/>
          <w:color w:val="auto"/>
          <w:highlight w:val="none"/>
          <w:lang w:val="zh-CN"/>
        </w:rPr>
      </w:pPr>
    </w:p>
    <w:bookmarkEnd w:id="23"/>
    <w:bookmarkEnd w:id="24"/>
    <w:bookmarkEnd w:id="25"/>
    <w:bookmarkEnd w:id="26"/>
    <w:p w14:paraId="33074A06">
      <w:pPr>
        <w:pStyle w:val="2"/>
        <w:pageBreakBefore/>
        <w:rPr>
          <w:rFonts w:asciiTheme="majorEastAsia" w:hAnsiTheme="majorEastAsia" w:eastAsiaTheme="majorEastAsia"/>
          <w:b/>
          <w:color w:val="auto"/>
          <w:sz w:val="32"/>
          <w:szCs w:val="32"/>
          <w:highlight w:val="none"/>
        </w:rPr>
      </w:pPr>
      <w:bookmarkStart w:id="42" w:name="_Toc23761"/>
      <w:r>
        <w:rPr>
          <w:rFonts w:hint="eastAsia" w:asciiTheme="majorEastAsia" w:hAnsiTheme="majorEastAsia" w:eastAsiaTheme="majorEastAsia"/>
          <w:b/>
          <w:color w:val="auto"/>
          <w:sz w:val="32"/>
          <w:szCs w:val="32"/>
          <w:highlight w:val="none"/>
        </w:rPr>
        <w:t>第三章  项目需求</w:t>
      </w:r>
      <w:bookmarkEnd w:id="42"/>
    </w:p>
    <w:p w14:paraId="33074A07">
      <w:pPr>
        <w:rPr>
          <w:color w:val="auto"/>
          <w:highlight w:val="none"/>
        </w:rPr>
      </w:pPr>
    </w:p>
    <w:p w14:paraId="33074A08">
      <w:pPr>
        <w:pStyle w:val="42"/>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一、项目基本情况及采购项目清单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3307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704" w:type="dxa"/>
            <w:vAlign w:val="center"/>
          </w:tcPr>
          <w:p w14:paraId="33074A09">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704" w:type="dxa"/>
            <w:vAlign w:val="center"/>
          </w:tcPr>
          <w:p w14:paraId="33074A0A">
            <w:pPr>
              <w:pStyle w:val="42"/>
              <w:widowControl w:val="0"/>
              <w:spacing w:line="360" w:lineRule="auto"/>
              <w:ind w:firstLine="0" w:firstLineChars="0"/>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1704" w:type="dxa"/>
            <w:vAlign w:val="center"/>
          </w:tcPr>
          <w:p w14:paraId="33074A0B">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705" w:type="dxa"/>
            <w:vAlign w:val="center"/>
          </w:tcPr>
          <w:p w14:paraId="33074A0C">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705" w:type="dxa"/>
            <w:vAlign w:val="center"/>
          </w:tcPr>
          <w:p w14:paraId="33074A0D">
            <w:pPr>
              <w:pStyle w:val="42"/>
              <w:widowControl w:val="0"/>
              <w:spacing w:line="360" w:lineRule="auto"/>
              <w:ind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最高限价</w:t>
            </w:r>
          </w:p>
        </w:tc>
      </w:tr>
      <w:tr w14:paraId="3307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bottom"/>
          </w:tcPr>
          <w:p w14:paraId="33074A0F">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1704" w:type="dxa"/>
            <w:vAlign w:val="bottom"/>
          </w:tcPr>
          <w:p w14:paraId="33074A10">
            <w:pPr>
              <w:pStyle w:val="42"/>
              <w:widowControl w:val="0"/>
              <w:spacing w:line="360" w:lineRule="auto"/>
              <w:ind w:firstLine="440"/>
              <w:jc w:val="both"/>
              <w:rPr>
                <w:rFonts w:ascii="宋体" w:hAnsi="宋体" w:cs="宋体"/>
                <w:b/>
                <w:bCs/>
                <w:color w:val="auto"/>
                <w:sz w:val="24"/>
                <w:szCs w:val="24"/>
                <w:highlight w:val="none"/>
              </w:rPr>
            </w:pPr>
            <w:r>
              <w:rPr>
                <w:rFonts w:hint="eastAsia"/>
                <w:color w:val="auto"/>
                <w:highlight w:val="none"/>
              </w:rPr>
              <w:t>纯水仪</w:t>
            </w:r>
          </w:p>
        </w:tc>
        <w:tc>
          <w:tcPr>
            <w:tcW w:w="1704" w:type="dxa"/>
            <w:vAlign w:val="bottom"/>
          </w:tcPr>
          <w:p w14:paraId="33074A11">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1705" w:type="dxa"/>
            <w:vAlign w:val="bottom"/>
          </w:tcPr>
          <w:p w14:paraId="33074A12">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台</w:t>
            </w:r>
          </w:p>
        </w:tc>
        <w:tc>
          <w:tcPr>
            <w:tcW w:w="1705" w:type="dxa"/>
            <w:vAlign w:val="bottom"/>
          </w:tcPr>
          <w:p w14:paraId="33074A13">
            <w:pPr>
              <w:pStyle w:val="42"/>
              <w:widowControl w:val="0"/>
              <w:spacing w:line="360" w:lineRule="auto"/>
              <w:ind w:firstLine="482"/>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13万元</w:t>
            </w:r>
          </w:p>
        </w:tc>
      </w:tr>
    </w:tbl>
    <w:p w14:paraId="33074A15">
      <w:pPr>
        <w:pStyle w:val="42"/>
        <w:spacing w:line="360" w:lineRule="auto"/>
        <w:ind w:firstLine="0" w:firstLineChars="0"/>
        <w:rPr>
          <w:rFonts w:ascii="宋体" w:hAnsi="宋体" w:eastAsia="宋体" w:cs="宋体"/>
          <w:b/>
          <w:bCs/>
          <w:color w:val="auto"/>
          <w:sz w:val="24"/>
          <w:szCs w:val="24"/>
          <w:highlight w:val="none"/>
        </w:rPr>
      </w:pPr>
    </w:p>
    <w:p w14:paraId="33074A16">
      <w:pPr>
        <w:pStyle w:val="42"/>
        <w:numPr>
          <w:ilvl w:val="0"/>
          <w:numId w:val="3"/>
        </w:num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技术要求</w:t>
      </w:r>
    </w:p>
    <w:p w14:paraId="33074A17">
      <w:pPr>
        <w:pStyle w:val="42"/>
        <w:ind w:firstLine="0" w:firstLineChars="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（1）系统设计</w:t>
      </w:r>
    </w:p>
    <w:p w14:paraId="33074A18">
      <w:pPr>
        <w:pStyle w:val="42"/>
        <w:ind w:firstLine="0" w:firstLineChars="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1、产水类型：超纯水、二级纯水、双级反渗透水。</w:t>
      </w:r>
    </w:p>
    <w:p w14:paraId="33074A19">
      <w:pPr>
        <w:pStyle w:val="42"/>
        <w:numPr>
          <w:ilvl w:val="2"/>
          <w:numId w:val="0"/>
        </w:numPr>
        <w:ind w:left="213" w:leftChars="-95" w:hanging="422" w:hangingChars="175"/>
        <w:rPr>
          <w:rFonts w:ascii="仿宋" w:hAnsi="仿宋" w:eastAsia="仿宋" w:cs="仿宋"/>
          <w:color w:val="auto"/>
          <w:sz w:val="24"/>
          <w:szCs w:val="24"/>
          <w:highlight w:val="none"/>
        </w:rPr>
      </w:pPr>
      <w:r>
        <w:rPr>
          <w:rFonts w:hint="eastAsia" w:ascii="仿宋" w:hAnsi="仿宋" w:eastAsia="仿宋" w:cs="仿宋"/>
          <w:b/>
          <w:bCs/>
          <w:color w:val="auto"/>
          <w:kern w:val="2"/>
          <w:sz w:val="24"/>
          <w:szCs w:val="24"/>
          <w:highlight w:val="none"/>
        </w:rPr>
        <w:t>★</w:t>
      </w:r>
      <w:r>
        <w:rPr>
          <w:rFonts w:hint="eastAsia" w:ascii="仿宋" w:hAnsi="仿宋" w:eastAsia="仿宋" w:cs="仿宋"/>
          <w:color w:val="auto"/>
          <w:sz w:val="24"/>
          <w:szCs w:val="24"/>
          <w:highlight w:val="none"/>
        </w:rPr>
        <w:t>2、水箱：水箱数量不少于3个水箱，储水水箱容积不低于50 L，有效保证峰值用水量。便携水箱容积不大于4L，可直接拎取至其他地方。</w:t>
      </w:r>
      <w:r>
        <w:rPr>
          <w:rFonts w:hint="eastAsia" w:ascii="仿宋" w:hAnsi="仿宋" w:eastAsia="仿宋" w:cs="仿宋"/>
          <w:b/>
          <w:bCs/>
          <w:color w:val="auto"/>
          <w:sz w:val="24"/>
          <w:szCs w:val="24"/>
          <w:highlight w:val="none"/>
        </w:rPr>
        <w:t>提供相关证明材料并加盖公章（包括但不限于明确说明该技术内容的产品彩页或产品说明书或白皮书或第三方检测机构的检测报告等）</w:t>
      </w:r>
    </w:p>
    <w:p w14:paraId="33074A1A">
      <w:pPr>
        <w:pStyle w:val="42"/>
        <w:ind w:firstLine="0" w:firstLineChars="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3、水机系统为分体式设计。</w:t>
      </w:r>
    </w:p>
    <w:p w14:paraId="33074A1B">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4、系统具有漏水自闭阀，时刻保障实验室用水安全。</w:t>
      </w:r>
    </w:p>
    <w:p w14:paraId="33074A1C">
      <w:pPr>
        <w:rPr>
          <w:rFonts w:ascii="仿宋" w:hAnsi="仿宋" w:eastAsia="仿宋" w:cs="仿宋"/>
          <w:color w:val="auto"/>
          <w:sz w:val="24"/>
          <w:szCs w:val="24"/>
          <w:highlight w:val="none"/>
        </w:rPr>
      </w:pPr>
    </w:p>
    <w:p w14:paraId="33074A1D">
      <w:pPr>
        <w:pStyle w:val="42"/>
        <w:numPr>
          <w:ilvl w:val="2"/>
          <w:numId w:val="0"/>
        </w:numPr>
        <w:ind w:left="191" w:leftChars="5" w:hanging="180" w:hangingChars="75"/>
        <w:rPr>
          <w:rFonts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（2）双级反渗透水</w:t>
      </w:r>
    </w:p>
    <w:p w14:paraId="33074A1E">
      <w:pPr>
        <w:pStyle w:val="42"/>
        <w:numPr>
          <w:ilvl w:val="2"/>
          <w:numId w:val="0"/>
        </w:numPr>
        <w:ind w:left="213" w:leftChars="-95" w:hanging="422" w:hangingChars="175"/>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▲1.</w:t>
      </w:r>
      <w:r>
        <w:rPr>
          <w:rFonts w:hint="eastAsia" w:ascii="仿宋" w:hAnsi="仿宋" w:eastAsia="仿宋" w:cs="仿宋"/>
          <w:color w:val="auto"/>
          <w:sz w:val="24"/>
          <w:szCs w:val="24"/>
          <w:highlight w:val="none"/>
        </w:rPr>
        <w:t>产水流速：</w:t>
      </w:r>
      <w:r>
        <w:rPr>
          <w:rFonts w:hint="eastAsia" w:ascii="仿宋" w:hAnsi="仿宋" w:eastAsia="仿宋" w:cs="仿宋"/>
          <w:color w:val="auto"/>
          <w:sz w:val="24"/>
          <w:szCs w:val="24"/>
          <w:highlight w:val="none"/>
          <w:lang w:val="en-US" w:eastAsia="zh-CN"/>
        </w:rPr>
        <w:t>42</w:t>
      </w:r>
      <w:r>
        <w:rPr>
          <w:rFonts w:hint="eastAsia" w:ascii="仿宋" w:hAnsi="仿宋" w:eastAsia="仿宋" w:cs="仿宋"/>
          <w:color w:val="auto"/>
          <w:sz w:val="24"/>
          <w:szCs w:val="24"/>
          <w:highlight w:val="none"/>
        </w:rPr>
        <w:t>L/</w:t>
      </w:r>
      <w:r>
        <w:rPr>
          <w:rFonts w:hint="eastAsia" w:ascii="仿宋" w:hAnsi="仿宋" w:eastAsia="仿宋" w:cs="仿宋"/>
          <w:color w:val="auto"/>
          <w:sz w:val="24"/>
          <w:szCs w:val="24"/>
          <w:highlight w:val="none"/>
          <w:lang w:val="en-US" w:eastAsia="zh-CN"/>
        </w:rPr>
        <w:t>小时</w:t>
      </w:r>
      <w:r>
        <w:rPr>
          <w:rFonts w:hint="eastAsia" w:ascii="仿宋" w:hAnsi="仿宋" w:eastAsia="仿宋" w:cs="仿宋"/>
          <w:color w:val="auto"/>
          <w:sz w:val="24"/>
          <w:szCs w:val="24"/>
          <w:highlight w:val="none"/>
        </w:rPr>
        <w:t>，为纯水系统提供高质量反渗透水。</w:t>
      </w:r>
      <w:r>
        <w:rPr>
          <w:rFonts w:hint="eastAsia" w:ascii="仿宋" w:hAnsi="仿宋" w:eastAsia="仿宋" w:cs="仿宋"/>
          <w:b/>
          <w:bCs/>
          <w:color w:val="auto"/>
          <w:sz w:val="24"/>
          <w:szCs w:val="24"/>
          <w:highlight w:val="none"/>
        </w:rPr>
        <w:t>提供相关证明材料并加盖公章（包括但不限于明确说明该技术内容的产品彩页或产品说明书或白皮书或第三方检测机构的检测报告等）</w:t>
      </w:r>
    </w:p>
    <w:p w14:paraId="33074A1F">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2、RO离子截留率不小于95%</w:t>
      </w:r>
    </w:p>
    <w:p w14:paraId="33074A20">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3、颗粒物截留率不小于99%</w:t>
      </w:r>
    </w:p>
    <w:p w14:paraId="33074A21">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4、有机物截留率不小于99%</w:t>
      </w:r>
    </w:p>
    <w:p w14:paraId="33074A22">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5、至少具有双级RO膜、活性炭对自来水进行过滤</w:t>
      </w:r>
    </w:p>
    <w:p w14:paraId="33074A23">
      <w:pPr>
        <w:rPr>
          <w:rFonts w:ascii="仿宋" w:hAnsi="仿宋" w:eastAsia="仿宋" w:cs="仿宋"/>
          <w:color w:val="auto"/>
          <w:sz w:val="24"/>
          <w:szCs w:val="24"/>
          <w:highlight w:val="none"/>
        </w:rPr>
      </w:pPr>
    </w:p>
    <w:p w14:paraId="33074A24">
      <w:pPr>
        <w:pStyle w:val="42"/>
        <w:numPr>
          <w:ilvl w:val="2"/>
          <w:numId w:val="0"/>
        </w:numPr>
        <w:ind w:left="211" w:leftChars="-95" w:hanging="420" w:hangingChars="17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（3）EDI纯水系统</w:t>
      </w:r>
    </w:p>
    <w:p w14:paraId="33074A25">
      <w:pPr>
        <w:pStyle w:val="42"/>
        <w:numPr>
          <w:ilvl w:val="2"/>
          <w:numId w:val="0"/>
        </w:numPr>
        <w:ind w:left="211" w:leftChars="-95" w:hanging="420" w:hangingChars="17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★1、EDI纯水产水流速不小于</w:t>
      </w:r>
      <w:r>
        <w:rPr>
          <w:rFonts w:hint="eastAsia" w:ascii="仿宋" w:hAnsi="仿宋" w:eastAsia="仿宋" w:cs="仿宋"/>
          <w:color w:val="auto"/>
          <w:sz w:val="24"/>
          <w:szCs w:val="24"/>
          <w:highlight w:val="none"/>
          <w:lang w:val="en-US" w:eastAsia="zh-CN"/>
        </w:rPr>
        <w:t>40</w:t>
      </w:r>
      <w:r>
        <w:rPr>
          <w:rFonts w:hint="eastAsia" w:ascii="仿宋" w:hAnsi="仿宋" w:eastAsia="仿宋" w:cs="仿宋"/>
          <w:color w:val="auto"/>
          <w:sz w:val="24"/>
          <w:szCs w:val="24"/>
          <w:highlight w:val="none"/>
        </w:rPr>
        <w:t xml:space="preserve"> L/h</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制水时间：便携水箱注满时间小于6分钟。</w:t>
      </w:r>
      <w:r>
        <w:rPr>
          <w:rFonts w:hint="eastAsia" w:ascii="仿宋" w:hAnsi="仿宋" w:eastAsia="仿宋" w:cs="仿宋"/>
          <w:b/>
          <w:bCs/>
          <w:color w:val="auto"/>
          <w:sz w:val="24"/>
          <w:szCs w:val="24"/>
          <w:highlight w:val="none"/>
        </w:rPr>
        <w:t>（提供相关证明材料并加盖投标单位公章，包括但不限于明确说明该技术内容的产品彩页或产品说明书或白皮书或第三方检测机构的检测报告等）</w:t>
      </w:r>
    </w:p>
    <w:p w14:paraId="33074A26">
      <w:pPr>
        <w:pStyle w:val="42"/>
        <w:numPr>
          <w:ilvl w:val="2"/>
          <w:numId w:val="0"/>
        </w:numPr>
        <w:ind w:left="211" w:leftChars="-95" w:hanging="420" w:hangingChars="17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3、纯水循环回路在水箱注水前及机器空闲时自动循环冲洗，保障纯水的水质。</w:t>
      </w:r>
    </w:p>
    <w:p w14:paraId="33074A27">
      <w:pPr>
        <w:pStyle w:val="42"/>
        <w:numPr>
          <w:ilvl w:val="2"/>
          <w:numId w:val="0"/>
        </w:numPr>
        <w:ind w:left="211" w:leftChars="-95" w:hanging="420" w:hangingChars="17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4、纯化柱到达使用期限后机器会自动提示更换，无需手动设定提醒时间。</w:t>
      </w:r>
    </w:p>
    <w:p w14:paraId="33074A28">
      <w:pPr>
        <w:pStyle w:val="42"/>
        <w:numPr>
          <w:ilvl w:val="2"/>
          <w:numId w:val="0"/>
        </w:numPr>
        <w:ind w:left="211" w:leftChars="-95" w:hanging="420" w:hangingChars="17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5、纯化柱外观有明显的颜色标识，帮助使用人员轻松识别并使用。</w:t>
      </w:r>
    </w:p>
    <w:p w14:paraId="228B37A3">
      <w:pPr>
        <w:pStyle w:val="42"/>
        <w:numPr>
          <w:ilvl w:val="2"/>
          <w:numId w:val="0"/>
        </w:numPr>
        <w:ind w:left="211" w:leftChars="-95" w:hanging="420" w:hangingChars="17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6、系统配备</w:t>
      </w:r>
      <w:bookmarkStart w:id="43" w:name="_Hlk167973802"/>
      <w:r>
        <w:rPr>
          <w:rFonts w:hint="eastAsia" w:ascii="仿宋" w:hAnsi="仿宋" w:eastAsia="仿宋" w:cs="仿宋"/>
          <w:color w:val="auto"/>
          <w:sz w:val="24"/>
          <w:szCs w:val="24"/>
          <w:highlight w:val="none"/>
        </w:rPr>
        <w:t>超纯化柱，内含3</w:t>
      </w:r>
      <w:r>
        <w:rPr>
          <w:rFonts w:ascii="仿宋" w:hAnsi="仿宋" w:eastAsia="仿宋" w:cs="仿宋"/>
          <w:color w:val="auto"/>
          <w:sz w:val="24"/>
          <w:szCs w:val="24"/>
          <w:highlight w:val="none"/>
        </w:rPr>
        <w:t>60</w:t>
      </w:r>
      <w:r>
        <w:rPr>
          <w:rFonts w:hint="eastAsia" w:ascii="仿宋" w:hAnsi="仿宋" w:eastAsia="仿宋" w:cs="仿宋"/>
          <w:color w:val="auto"/>
          <w:sz w:val="24"/>
          <w:szCs w:val="24"/>
          <w:highlight w:val="none"/>
        </w:rPr>
        <w:t>μm和6</w:t>
      </w:r>
      <w:r>
        <w:rPr>
          <w:rFonts w:ascii="仿宋" w:hAnsi="仿宋" w:eastAsia="仿宋" w:cs="仿宋"/>
          <w:color w:val="auto"/>
          <w:sz w:val="24"/>
          <w:szCs w:val="24"/>
          <w:highlight w:val="none"/>
        </w:rPr>
        <w:t>00</w:t>
      </w:r>
      <w:r>
        <w:rPr>
          <w:rFonts w:hint="eastAsia" w:ascii="仿宋" w:hAnsi="仿宋" w:eastAsia="仿宋" w:cs="仿宋"/>
          <w:color w:val="auto"/>
          <w:sz w:val="24"/>
          <w:szCs w:val="24"/>
          <w:highlight w:val="none"/>
        </w:rPr>
        <w:t>μm的混床离子树脂及高级合成活性炭，用于去除水中的离子和痕量有机污染物。</w:t>
      </w:r>
      <w:bookmarkEnd w:id="43"/>
    </w:p>
    <w:p w14:paraId="33074A29">
      <w:pPr>
        <w:pStyle w:val="42"/>
        <w:numPr>
          <w:ilvl w:val="2"/>
          <w:numId w:val="0"/>
        </w:numPr>
        <w:ind w:left="211" w:leftChars="-95" w:hanging="420" w:hangingChars="17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7、操作界面采用极简设计的彩色LED指示灯及触摸按键组成，减少复杂的操作步骤，任何使用人员均可轻松上手操作。</w:t>
      </w:r>
    </w:p>
    <w:p w14:paraId="33074A2A">
      <w:pPr>
        <w:pStyle w:val="42"/>
        <w:numPr>
          <w:ilvl w:val="2"/>
          <w:numId w:val="0"/>
        </w:numPr>
        <w:ind w:left="213" w:leftChars="-95" w:hanging="422" w:hangingChars="175"/>
        <w:rPr>
          <w:rFonts w:ascii="仿宋" w:hAnsi="仿宋" w:eastAsia="仿宋" w:cs="仿宋"/>
          <w:color w:val="auto"/>
          <w:sz w:val="24"/>
          <w:szCs w:val="24"/>
          <w:highlight w:val="none"/>
        </w:rPr>
      </w:pPr>
      <w:r>
        <w:rPr>
          <w:rFonts w:hint="eastAsia" w:ascii="仿宋" w:hAnsi="仿宋" w:eastAsia="仿宋" w:cs="仿宋"/>
          <w:b/>
          <w:bCs/>
          <w:color w:val="auto"/>
          <w:kern w:val="2"/>
          <w:sz w:val="24"/>
          <w:szCs w:val="24"/>
          <w:highlight w:val="none"/>
        </w:rPr>
        <w:t>▲</w:t>
      </w:r>
      <w:r>
        <w:rPr>
          <w:rFonts w:hint="eastAsia" w:ascii="仿宋" w:hAnsi="仿宋" w:eastAsia="仿宋" w:cs="仿宋"/>
          <w:color w:val="auto"/>
          <w:sz w:val="24"/>
          <w:szCs w:val="24"/>
          <w:highlight w:val="none"/>
        </w:rPr>
        <w:t>8、便携式水箱可轻松拆卸，可轻松的提取至实验室需要用水的区域。</w:t>
      </w:r>
      <w:r>
        <w:rPr>
          <w:rFonts w:hint="eastAsia" w:ascii="仿宋" w:hAnsi="仿宋" w:eastAsia="仿宋" w:cs="仿宋"/>
          <w:b/>
          <w:bCs/>
          <w:color w:val="auto"/>
          <w:sz w:val="24"/>
          <w:szCs w:val="24"/>
          <w:highlight w:val="none"/>
        </w:rPr>
        <w:t>（提供相关证明材料并加盖投标单位公章，包括但不限于明确说明该技术内容的产品彩页或产品说明书或白皮书或第三方检测机构的检测报告等）</w:t>
      </w:r>
    </w:p>
    <w:p w14:paraId="33074A2B">
      <w:pPr>
        <w:pStyle w:val="42"/>
        <w:numPr>
          <w:ilvl w:val="2"/>
          <w:numId w:val="0"/>
        </w:numPr>
        <w:ind w:left="211" w:leftChars="-95" w:hanging="420" w:hangingChars="175"/>
        <w:rPr>
          <w:rFonts w:ascii="宋体" w:hAnsi="宋体" w:eastAsia="宋体" w:cs="宋体"/>
          <w:b/>
          <w:bCs/>
          <w:color w:val="auto"/>
          <w:sz w:val="24"/>
          <w:szCs w:val="24"/>
          <w:highlight w:val="none"/>
        </w:rPr>
      </w:pPr>
      <w:r>
        <w:rPr>
          <w:rFonts w:hint="eastAsia" w:ascii="仿宋" w:hAnsi="仿宋" w:eastAsia="仿宋" w:cs="仿宋"/>
          <w:color w:val="auto"/>
          <w:sz w:val="24"/>
          <w:szCs w:val="24"/>
          <w:highlight w:val="none"/>
        </w:rPr>
        <w:t>9、水箱采用聚碳酸酯材料制成，具有很强的耐热、耐冲击、抑菌性能。透明磨砂颜色方便使用人员快速、清楚的识别水箱内的液位情况。</w:t>
      </w:r>
    </w:p>
    <w:p w14:paraId="33074A2C">
      <w:pPr>
        <w:rPr>
          <w:rFonts w:ascii="仿宋" w:hAnsi="仿宋" w:eastAsia="仿宋" w:cs="仿宋"/>
          <w:color w:val="auto"/>
          <w:sz w:val="24"/>
          <w:szCs w:val="24"/>
          <w:highlight w:val="none"/>
        </w:rPr>
      </w:pPr>
    </w:p>
    <w:p w14:paraId="33074A2D">
      <w:pPr>
        <w:pStyle w:val="42"/>
        <w:numPr>
          <w:ilvl w:val="1"/>
          <w:numId w:val="0"/>
        </w:numPr>
        <w:ind w:left="-5" w:leftChars="-94" w:hanging="202" w:hangingChars="84"/>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（3）超纯水部分</w:t>
      </w:r>
    </w:p>
    <w:p w14:paraId="33074A2E">
      <w:pPr>
        <w:pStyle w:val="42"/>
        <w:numPr>
          <w:ilvl w:val="2"/>
          <w:numId w:val="0"/>
        </w:numPr>
        <w:ind w:left="33" w:leftChars="15" w:firstLine="39" w:firstLineChars="16"/>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1.</w:t>
      </w:r>
      <w:r>
        <w:rPr>
          <w:rFonts w:hint="eastAsia" w:ascii="仿宋" w:hAnsi="仿宋" w:eastAsia="仿宋" w:cs="仿宋"/>
          <w:color w:val="auto"/>
          <w:sz w:val="24"/>
          <w:szCs w:val="24"/>
          <w:highlight w:val="none"/>
        </w:rPr>
        <w:t>纯水/超纯水一体化系统可拆分为独立的纯水系统与超纯水系统，拆分的超纯水系统可灵活安装于不同实验室的任意位置而无需考虑纯水系统的安装位置，</w:t>
      </w:r>
      <w:bookmarkStart w:id="44" w:name="_Hlk156036640"/>
      <w:r>
        <w:rPr>
          <w:rFonts w:hint="eastAsia" w:ascii="仿宋" w:hAnsi="仿宋" w:eastAsia="仿宋" w:cs="仿宋"/>
          <w:color w:val="auto"/>
          <w:sz w:val="24"/>
          <w:szCs w:val="24"/>
          <w:highlight w:val="none"/>
        </w:rPr>
        <w:t>也无需安装进水设备</w:t>
      </w:r>
      <w:bookmarkEnd w:id="44"/>
      <w:r>
        <w:rPr>
          <w:rFonts w:hint="eastAsia" w:ascii="仿宋" w:hAnsi="仿宋" w:eastAsia="仿宋" w:cs="仿宋"/>
          <w:color w:val="auto"/>
          <w:sz w:val="24"/>
          <w:szCs w:val="24"/>
          <w:highlight w:val="none"/>
        </w:rPr>
        <w:t>。</w:t>
      </w:r>
    </w:p>
    <w:p w14:paraId="33074A2F">
      <w:pPr>
        <w:pStyle w:val="42"/>
        <w:numPr>
          <w:ilvl w:val="2"/>
          <w:numId w:val="0"/>
        </w:numPr>
        <w:ind w:left="13" w:leftChars="6" w:firstLine="39" w:firstLineChars="16"/>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2.</w:t>
      </w:r>
      <w:r>
        <w:rPr>
          <w:rFonts w:hint="eastAsia" w:ascii="仿宋" w:hAnsi="仿宋" w:eastAsia="仿宋" w:cs="仿宋"/>
          <w:color w:val="auto"/>
          <w:sz w:val="24"/>
          <w:szCs w:val="24"/>
          <w:highlight w:val="none"/>
        </w:rPr>
        <w:t>产水类型：超纯水</w:t>
      </w:r>
    </w:p>
    <w:p w14:paraId="33074A30">
      <w:pPr>
        <w:pStyle w:val="42"/>
        <w:numPr>
          <w:ilvl w:val="2"/>
          <w:numId w:val="0"/>
        </w:numPr>
        <w:ind w:left="13" w:leftChars="6" w:firstLine="39" w:firstLineChars="16"/>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3.</w:t>
      </w:r>
      <w:r>
        <w:rPr>
          <w:rFonts w:hint="eastAsia" w:ascii="仿宋" w:hAnsi="仿宋" w:eastAsia="仿宋" w:cs="仿宋"/>
          <w:color w:val="auto"/>
          <w:sz w:val="24"/>
          <w:szCs w:val="24"/>
          <w:highlight w:val="none"/>
        </w:rPr>
        <w:t>超纯水产水水质</w:t>
      </w:r>
    </w:p>
    <w:p w14:paraId="33074A31">
      <w:pPr>
        <w:pStyle w:val="42"/>
        <w:ind w:left="13" w:leftChars="6" w:firstLine="38" w:firstLineChars="16"/>
        <w:rPr>
          <w:rFonts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3.1</w:t>
      </w:r>
      <w:r>
        <w:rPr>
          <w:rFonts w:hint="eastAsia" w:ascii="仿宋" w:hAnsi="仿宋" w:eastAsia="仿宋" w:cs="仿宋"/>
          <w:color w:val="auto"/>
          <w:sz w:val="24"/>
          <w:szCs w:val="24"/>
          <w:highlight w:val="none"/>
        </w:rPr>
        <w:t>电阻率：18.2 MΩ·cm @ 25 °C</w:t>
      </w:r>
    </w:p>
    <w:p w14:paraId="33074A32">
      <w:pPr>
        <w:pStyle w:val="42"/>
        <w:ind w:left="13" w:leftChars="6" w:firstLine="38" w:firstLineChars="16"/>
        <w:rPr>
          <w:rFonts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 xml:space="preserve">3.2 </w:t>
      </w:r>
      <w:r>
        <w:rPr>
          <w:rFonts w:hint="eastAsia" w:ascii="仿宋" w:hAnsi="仿宋" w:eastAsia="仿宋" w:cs="仿宋"/>
          <w:color w:val="auto"/>
          <w:sz w:val="24"/>
          <w:szCs w:val="24"/>
          <w:highlight w:val="none"/>
        </w:rPr>
        <w:t xml:space="preserve">TOC：≤2 ppb </w:t>
      </w:r>
    </w:p>
    <w:p w14:paraId="33074A33">
      <w:pPr>
        <w:pStyle w:val="42"/>
        <w:ind w:left="13" w:leftChars="6" w:firstLine="38" w:firstLineChars="16"/>
        <w:rPr>
          <w:rFonts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3.3</w:t>
      </w:r>
      <w:r>
        <w:rPr>
          <w:rFonts w:hint="eastAsia" w:ascii="仿宋" w:hAnsi="仿宋" w:eastAsia="仿宋" w:cs="仿宋"/>
          <w:color w:val="auto"/>
          <w:sz w:val="24"/>
          <w:szCs w:val="24"/>
          <w:highlight w:val="none"/>
        </w:rPr>
        <w:t>微生物：≤ 1 cfu/L</w:t>
      </w:r>
    </w:p>
    <w:p w14:paraId="33074A34">
      <w:pPr>
        <w:pStyle w:val="42"/>
        <w:ind w:left="13" w:leftChars="6" w:firstLine="38" w:firstLineChars="16"/>
        <w:rPr>
          <w:rFonts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3.4</w:t>
      </w:r>
      <w:r>
        <w:rPr>
          <w:rFonts w:hint="eastAsia" w:ascii="仿宋" w:hAnsi="仿宋" w:eastAsia="仿宋" w:cs="仿宋"/>
          <w:color w:val="auto"/>
          <w:sz w:val="24"/>
          <w:szCs w:val="24"/>
          <w:highlight w:val="none"/>
        </w:rPr>
        <w:t>内毒素（热源）：&lt; 0.001 EU/mL</w:t>
      </w:r>
    </w:p>
    <w:p w14:paraId="33074A35">
      <w:pPr>
        <w:pStyle w:val="42"/>
        <w:ind w:firstLine="0" w:firstLineChars="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★3.5双酚A &lt; 0.005 ug/L；邻苯二甲酸二丁酯&lt; 0.2 ug/L；邻苯二甲酸二(2-乙己基)酯 &lt; 0.2 ug/L；壬基苯酚 &lt; 0.1 ug/L（提供检验报告）；</w:t>
      </w:r>
      <w:r>
        <w:rPr>
          <w:rFonts w:hint="eastAsia" w:ascii="仿宋" w:hAnsi="仿宋" w:eastAsia="仿宋" w:cs="仿宋"/>
          <w:b/>
          <w:bCs/>
          <w:color w:val="auto"/>
          <w:sz w:val="24"/>
          <w:szCs w:val="24"/>
          <w:highlight w:val="none"/>
        </w:rPr>
        <w:t>提供第三方检测机构的检测报告并加盖公章</w:t>
      </w:r>
    </w:p>
    <w:p w14:paraId="33074A36">
      <w:pPr>
        <w:ind w:left="420" w:hanging="420"/>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4.</w:t>
      </w:r>
      <w:r>
        <w:rPr>
          <w:rFonts w:hint="eastAsia" w:ascii="仿宋" w:hAnsi="仿宋" w:eastAsia="仿宋" w:cs="仿宋"/>
          <w:color w:val="auto"/>
          <w:sz w:val="24"/>
          <w:szCs w:val="24"/>
          <w:highlight w:val="none"/>
        </w:rPr>
        <w:t>超纯水循环回路每隔2小时自动循环，对回路内的超纯水自动清洁、消毒，同时支持手动开启自动循环清洗功能。</w:t>
      </w:r>
    </w:p>
    <w:p w14:paraId="33074A37">
      <w:pPr>
        <w:pStyle w:val="42"/>
        <w:numPr>
          <w:ilvl w:val="2"/>
          <w:numId w:val="0"/>
        </w:numPr>
        <w:ind w:left="13" w:leftChars="6" w:firstLine="39" w:firstLineChars="16"/>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5</w:t>
      </w:r>
      <w:r>
        <w:rPr>
          <w:rFonts w:hint="eastAsia" w:ascii="仿宋" w:hAnsi="仿宋" w:eastAsia="仿宋" w:cs="仿宋"/>
          <w:color w:val="auto"/>
          <w:sz w:val="24"/>
          <w:szCs w:val="24"/>
          <w:highlight w:val="none"/>
        </w:rPr>
        <w:t>.超纯水分配流速：不低于1.6L/min，支持无级调节流速至逐滴取水。</w:t>
      </w:r>
    </w:p>
    <w:p w14:paraId="33074A38">
      <w:pPr>
        <w:pStyle w:val="42"/>
        <w:numPr>
          <w:ilvl w:val="2"/>
          <w:numId w:val="0"/>
        </w:numPr>
        <w:ind w:left="13" w:leftChars="6" w:firstLine="39" w:firstLineChars="16"/>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▲6</w:t>
      </w:r>
      <w:r>
        <w:rPr>
          <w:rFonts w:hint="eastAsia" w:ascii="仿宋" w:hAnsi="仿宋" w:eastAsia="仿宋" w:cs="仿宋"/>
          <w:color w:val="auto"/>
          <w:sz w:val="24"/>
          <w:szCs w:val="24"/>
          <w:highlight w:val="none"/>
        </w:rPr>
        <w:t>.配备远程取水手臂，采用磁吸固定方式，非卡扣式，方便取水。</w:t>
      </w:r>
    </w:p>
    <w:p w14:paraId="33074A39">
      <w:pPr>
        <w:ind w:left="420" w:hanging="420"/>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▲7</w:t>
      </w:r>
      <w:r>
        <w:rPr>
          <w:rFonts w:hint="eastAsia" w:ascii="仿宋" w:hAnsi="仿宋" w:eastAsia="仿宋" w:cs="仿宋"/>
          <w:color w:val="auto"/>
          <w:sz w:val="24"/>
          <w:szCs w:val="24"/>
          <w:highlight w:val="none"/>
        </w:rPr>
        <w:t>.内置185/254nm双波长紫外灯，用于氧化有机污染物及杀菌。使用期间无需更换，设计使用寿命7年。</w:t>
      </w:r>
      <w:r>
        <w:rPr>
          <w:rFonts w:hint="eastAsia" w:ascii="仿宋" w:hAnsi="仿宋" w:eastAsia="仿宋" w:cs="仿宋"/>
          <w:b/>
          <w:bCs/>
          <w:color w:val="auto"/>
          <w:sz w:val="24"/>
          <w:szCs w:val="24"/>
          <w:highlight w:val="none"/>
        </w:rPr>
        <w:t>（提供相关证明材料并加盖公章,包括但不限于明确说明该技术内容的产品彩页或产品说明书或白皮书或第三方检测机构的检测报告等）</w:t>
      </w:r>
    </w:p>
    <w:p w14:paraId="33074A3A">
      <w:pPr>
        <w:ind w:left="420" w:hanging="420"/>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8.</w:t>
      </w:r>
      <w:r>
        <w:rPr>
          <w:rFonts w:hint="eastAsia" w:ascii="仿宋" w:hAnsi="仿宋" w:eastAsia="仿宋" w:cs="仿宋"/>
          <w:color w:val="auto"/>
          <w:sz w:val="24"/>
          <w:szCs w:val="24"/>
          <w:highlight w:val="none"/>
        </w:rPr>
        <w:t>电阻率具有自动检测及报警功能，彩色LED指示灯实时提示电阻率状态。</w:t>
      </w:r>
    </w:p>
    <w:p w14:paraId="33074A3B">
      <w:pPr>
        <w:pStyle w:val="42"/>
        <w:ind w:firstLine="0" w:firstLineChars="0"/>
        <w:rPr>
          <w:rFonts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rPr>
        <w:t>▲</w:t>
      </w:r>
      <w:r>
        <w:rPr>
          <w:rFonts w:hint="eastAsia" w:ascii="仿宋" w:hAnsi="仿宋" w:eastAsia="仿宋" w:cs="仿宋"/>
          <w:color w:val="auto"/>
          <w:sz w:val="24"/>
          <w:szCs w:val="24"/>
          <w:highlight w:val="none"/>
        </w:rPr>
        <w:t>9.针对不同污染物的类型，有不低于5种不同类型的终端过滤器，针对的污染物种类至少包括热原和核酸酶、挥发性有机物、内分泌干扰物、痕量有机物、细菌和微粒等。</w:t>
      </w:r>
      <w:r>
        <w:rPr>
          <w:rFonts w:hint="eastAsia" w:ascii="仿宋" w:hAnsi="仿宋" w:eastAsia="仿宋" w:cs="仿宋"/>
          <w:b/>
          <w:bCs/>
          <w:color w:val="auto"/>
          <w:sz w:val="24"/>
          <w:szCs w:val="24"/>
          <w:highlight w:val="none"/>
        </w:rPr>
        <w:t>（提供同品牌5种终端精制器的证明文件）</w:t>
      </w:r>
    </w:p>
    <w:p w14:paraId="33074A3C">
      <w:pPr>
        <w:pStyle w:val="42"/>
        <w:spacing w:line="360" w:lineRule="auto"/>
        <w:ind w:firstLine="0" w:firstLineChars="0"/>
        <w:rPr>
          <w:rFonts w:ascii="宋体" w:hAnsi="宋体" w:eastAsia="宋体" w:cs="宋体"/>
          <w:b/>
          <w:bCs/>
          <w:color w:val="auto"/>
          <w:sz w:val="24"/>
          <w:szCs w:val="24"/>
          <w:highlight w:val="none"/>
        </w:rPr>
      </w:pPr>
    </w:p>
    <w:p w14:paraId="33074A3D">
      <w:pPr>
        <w:autoSpaceDE w:val="0"/>
        <w:autoSpaceDN w:val="0"/>
        <w:spacing w:line="360" w:lineRule="auto"/>
        <w:ind w:firstLine="420"/>
        <w:rPr>
          <w:rFonts w:ascii="宋体" w:hAnsi="宋体" w:eastAsia="宋体" w:cs="宋体"/>
          <w:b/>
          <w:bCs/>
          <w:color w:val="auto"/>
          <w:sz w:val="24"/>
          <w:szCs w:val="24"/>
          <w:highlight w:val="none"/>
          <w:lang w:val="zh-CN"/>
        </w:rPr>
      </w:pPr>
      <w:bookmarkStart w:id="45" w:name="_Toc13108"/>
      <w:bookmarkStart w:id="46" w:name="_Toc9546"/>
      <w:bookmarkStart w:id="47" w:name="_Toc8837"/>
      <w:r>
        <w:rPr>
          <w:rFonts w:hint="eastAsia" w:ascii="宋体" w:hAnsi="宋体" w:eastAsia="宋体" w:cs="宋体"/>
          <w:b/>
          <w:bCs/>
          <w:color w:val="auto"/>
          <w:sz w:val="24"/>
          <w:szCs w:val="24"/>
          <w:highlight w:val="none"/>
          <w:lang w:val="zh-CN"/>
        </w:rPr>
        <w:t>三、服务要求</w:t>
      </w:r>
      <w:bookmarkEnd w:id="45"/>
      <w:bookmarkEnd w:id="46"/>
    </w:p>
    <w:p w14:paraId="33074A3E">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（1）技术培训：为采购方进行人员培训，提供每年不少于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次的设备操作培训，培训人员</w:t>
      </w: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val="zh-CN"/>
        </w:rPr>
        <w:t>不低于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人。</w:t>
      </w:r>
    </w:p>
    <w:p w14:paraId="33074A3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免费质保</w:t>
      </w:r>
      <w:r>
        <w:rPr>
          <w:rFonts w:hint="eastAsia" w:ascii="宋体" w:hAnsi="宋体" w:eastAsia="宋体" w:cs="宋体"/>
          <w:color w:val="auto"/>
          <w:sz w:val="24"/>
          <w:szCs w:val="24"/>
          <w:highlight w:val="none"/>
          <w:lang w:val="zh-CN"/>
        </w:rPr>
        <w:t>期：</w:t>
      </w:r>
      <w:r>
        <w:rPr>
          <w:rFonts w:hint="eastAsia" w:ascii="宋体" w:hAnsi="宋体" w:eastAsia="宋体" w:cs="宋体"/>
          <w:color w:val="auto"/>
          <w:sz w:val="24"/>
          <w:szCs w:val="24"/>
          <w:highlight w:val="none"/>
        </w:rPr>
        <w:t>质保期不低于 1年，</w:t>
      </w:r>
      <w:r>
        <w:rPr>
          <w:rFonts w:hint="eastAsia" w:ascii="宋体" w:hAnsi="宋体" w:eastAsia="宋体" w:cs="宋体"/>
          <w:color w:val="auto"/>
          <w:sz w:val="24"/>
          <w:szCs w:val="24"/>
          <w:highlight w:val="none"/>
          <w:lang w:val="zh-CN"/>
        </w:rPr>
        <w:t>自验收合格</w:t>
      </w:r>
      <w:r>
        <w:rPr>
          <w:rFonts w:hint="eastAsia" w:ascii="宋体" w:hAnsi="宋体" w:eastAsia="宋体" w:cs="宋体"/>
          <w:color w:val="auto"/>
          <w:sz w:val="24"/>
          <w:szCs w:val="24"/>
          <w:highlight w:val="none"/>
        </w:rPr>
        <w:t>次日</w:t>
      </w:r>
      <w:r>
        <w:rPr>
          <w:rFonts w:hint="eastAsia" w:ascii="宋体" w:hAnsi="宋体" w:eastAsia="宋体" w:cs="宋体"/>
          <w:color w:val="auto"/>
          <w:sz w:val="24"/>
          <w:szCs w:val="24"/>
          <w:highlight w:val="none"/>
          <w:lang w:val="zh-CN"/>
        </w:rPr>
        <w:t>起</w:t>
      </w:r>
      <w:r>
        <w:rPr>
          <w:rFonts w:hint="eastAsia" w:ascii="宋体" w:hAnsi="宋体" w:eastAsia="宋体" w:cs="宋体"/>
          <w:color w:val="auto"/>
          <w:sz w:val="24"/>
          <w:szCs w:val="24"/>
          <w:highlight w:val="none"/>
        </w:rPr>
        <w:t>算</w:t>
      </w:r>
      <w:r>
        <w:rPr>
          <w:rFonts w:hint="eastAsia" w:ascii="宋体" w:hAnsi="宋体" w:eastAsia="宋体" w:cs="宋体"/>
          <w:color w:val="auto"/>
          <w:sz w:val="24"/>
          <w:szCs w:val="24"/>
          <w:highlight w:val="none"/>
          <w:lang w:val="zh-CN"/>
        </w:rPr>
        <w:t>。</w:t>
      </w:r>
    </w:p>
    <w:p w14:paraId="33074A40">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（3）售后技术服务要求：接到故障通知后</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小时内作出答复，一般问题</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小时之内解决；若采购方有需求，</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小时内到达现场解决；若遇重大问题在</w:t>
      </w:r>
      <w:r>
        <w:rPr>
          <w:rFonts w:hint="eastAsia" w:ascii="宋体" w:hAnsi="宋体" w:eastAsia="宋体" w:cs="宋体"/>
          <w:color w:val="auto"/>
          <w:sz w:val="24"/>
          <w:szCs w:val="24"/>
          <w:highlight w:val="none"/>
        </w:rPr>
        <w:t>2天内</w:t>
      </w:r>
      <w:r>
        <w:rPr>
          <w:rFonts w:hint="eastAsia" w:ascii="宋体" w:hAnsi="宋体" w:eastAsia="宋体" w:cs="宋体"/>
          <w:color w:val="auto"/>
          <w:sz w:val="24"/>
          <w:szCs w:val="24"/>
          <w:highlight w:val="none"/>
          <w:lang w:val="zh-CN"/>
        </w:rPr>
        <w:t>解决。</w:t>
      </w:r>
    </w:p>
    <w:p w14:paraId="33074A41">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lang w:val="zh-CN"/>
        </w:rPr>
        <w:t>四、安装要求</w:t>
      </w:r>
      <w:bookmarkEnd w:id="47"/>
    </w:p>
    <w:p w14:paraId="33074A4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按照国家现行行业规范标准进行安装，符合国家或行业质量检验评定标准，没有行业标准的产品，投标人应提供相关制造商标准。</w:t>
      </w:r>
    </w:p>
    <w:p w14:paraId="33074A4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设备安装调试：设备到货后，卖方在接到通知的7个工作日内派人前往负责该设备的安装、调试和操作培训，直至达到各项验收指标合格。</w:t>
      </w:r>
    </w:p>
    <w:p w14:paraId="33074A44">
      <w:pPr>
        <w:autoSpaceDE w:val="0"/>
        <w:autoSpaceDN w:val="0"/>
        <w:spacing w:line="360" w:lineRule="auto"/>
        <w:ind w:firstLine="420"/>
        <w:rPr>
          <w:rFonts w:ascii="宋体" w:hAnsi="宋体" w:eastAsia="宋体" w:cs="宋体"/>
          <w:color w:val="auto"/>
          <w:sz w:val="24"/>
          <w:szCs w:val="24"/>
          <w:highlight w:val="none"/>
          <w:lang w:val="zh-CN"/>
        </w:rPr>
      </w:pPr>
      <w:bookmarkStart w:id="48" w:name="_Toc11610"/>
      <w:r>
        <w:rPr>
          <w:rFonts w:hint="eastAsia" w:ascii="宋体" w:hAnsi="宋体" w:eastAsia="宋体" w:cs="宋体"/>
          <w:b/>
          <w:bCs/>
          <w:color w:val="auto"/>
          <w:sz w:val="24"/>
          <w:szCs w:val="24"/>
          <w:highlight w:val="none"/>
          <w:lang w:val="zh-CN"/>
        </w:rPr>
        <w:t>五、交货期、交货方式及交货地点</w:t>
      </w:r>
      <w:bookmarkEnd w:id="48"/>
    </w:p>
    <w:p w14:paraId="33074A45">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 交货期：合同签订生效后，进口设备（免税）三个月内、国产设备及进口设备（非免税）一个月内全部设备、材料运抵现场，并安装、调试结束，验收合格，交付买方使用。</w:t>
      </w:r>
    </w:p>
    <w:p w14:paraId="33074A46">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 交货方式：中标人在买方指定地点交货，并完成安装、调试。</w:t>
      </w:r>
    </w:p>
    <w:p w14:paraId="33074A4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 交货地点：南京医科大学</w:t>
      </w:r>
      <w:r>
        <w:rPr>
          <w:rFonts w:hint="eastAsia" w:ascii="宋体" w:hAnsi="宋体" w:eastAsia="宋体" w:cs="宋体"/>
          <w:color w:val="auto"/>
          <w:sz w:val="24"/>
          <w:szCs w:val="24"/>
          <w:highlight w:val="none"/>
        </w:rPr>
        <w:t>指定地点</w:t>
      </w:r>
      <w:r>
        <w:rPr>
          <w:rFonts w:hint="eastAsia" w:ascii="宋体" w:hAnsi="宋体" w:eastAsia="宋体" w:cs="宋体"/>
          <w:color w:val="auto"/>
          <w:sz w:val="24"/>
          <w:szCs w:val="24"/>
          <w:highlight w:val="none"/>
          <w:lang w:val="zh-CN"/>
        </w:rPr>
        <w:t>。</w:t>
      </w:r>
    </w:p>
    <w:p w14:paraId="33074A48">
      <w:pPr>
        <w:autoSpaceDE w:val="0"/>
        <w:autoSpaceDN w:val="0"/>
        <w:spacing w:line="360" w:lineRule="auto"/>
        <w:ind w:firstLine="420"/>
        <w:rPr>
          <w:rFonts w:ascii="宋体" w:hAnsi="宋体" w:eastAsia="宋体" w:cs="宋体"/>
          <w:b/>
          <w:bCs/>
          <w:color w:val="auto"/>
          <w:sz w:val="24"/>
          <w:szCs w:val="24"/>
          <w:highlight w:val="none"/>
          <w:lang w:val="zh-CN"/>
        </w:rPr>
      </w:pPr>
      <w:bookmarkStart w:id="49" w:name="_Toc18026"/>
      <w:r>
        <w:rPr>
          <w:rFonts w:hint="eastAsia" w:ascii="宋体" w:hAnsi="宋体" w:eastAsia="宋体" w:cs="宋体"/>
          <w:b/>
          <w:bCs/>
          <w:color w:val="auto"/>
          <w:sz w:val="24"/>
          <w:szCs w:val="24"/>
          <w:highlight w:val="none"/>
          <w:lang w:val="zh-CN"/>
        </w:rPr>
        <w:t>六、其他技术服务需求</w:t>
      </w:r>
      <w:bookmarkEnd w:id="49"/>
    </w:p>
    <w:p w14:paraId="33074A49">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1、投标人须保证本次投标产品系优质材料和先进工艺制成新出厂的产品，且完全与投标文件所述相符。</w:t>
      </w:r>
    </w:p>
    <w:p w14:paraId="33074A4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2、交付使用前发生的产品硬件损坏和不合格，一律退换新品。在质保期开始的前三个月内，若发生产品损坏和性能不合格（非使用不当原因造成），除采购人同意修理之外，亦应退换新品。</w:t>
      </w:r>
    </w:p>
    <w:p w14:paraId="33074A4B">
      <w:pPr>
        <w:autoSpaceDE w:val="0"/>
        <w:autoSpaceDN w:val="0"/>
        <w:spacing w:line="360" w:lineRule="auto"/>
        <w:ind w:firstLine="420"/>
        <w:rPr>
          <w:rFonts w:ascii="宋体" w:hAnsi="宋体" w:eastAsia="宋体" w:cs="宋体"/>
          <w:b/>
          <w:bCs/>
          <w:color w:val="auto"/>
          <w:sz w:val="24"/>
          <w:szCs w:val="24"/>
          <w:highlight w:val="none"/>
          <w:lang w:val="zh-CN"/>
        </w:rPr>
      </w:pPr>
      <w:bookmarkStart w:id="50" w:name="_Toc16384"/>
      <w:r>
        <w:rPr>
          <w:rFonts w:hint="eastAsia" w:ascii="宋体" w:hAnsi="宋体" w:eastAsia="宋体" w:cs="宋体"/>
          <w:b/>
          <w:bCs/>
          <w:color w:val="auto"/>
          <w:sz w:val="24"/>
          <w:szCs w:val="24"/>
          <w:highlight w:val="none"/>
          <w:lang w:val="zh-CN"/>
        </w:rPr>
        <w:t>七、货款支付</w:t>
      </w:r>
      <w:bookmarkEnd w:id="50"/>
    </w:p>
    <w:p w14:paraId="33074A4C">
      <w:pPr>
        <w:pStyle w:val="14"/>
        <w:spacing w:before="120" w:after="120" w:line="330" w:lineRule="atLeast"/>
        <w:ind w:firstLine="480" w:firstLineChars="200"/>
        <w:rPr>
          <w:rFonts w:hAnsi="宋体" w:eastAsia="宋体"/>
          <w:color w:val="auto"/>
          <w:sz w:val="24"/>
          <w:szCs w:val="28"/>
          <w:highlight w:val="none"/>
        </w:rPr>
      </w:pPr>
      <w:bookmarkStart w:id="51" w:name="_Toc401414769"/>
      <w:r>
        <w:rPr>
          <w:rFonts w:hint="eastAsia" w:hAnsi="宋体" w:eastAsia="宋体"/>
          <w:color w:val="auto"/>
          <w:sz w:val="24"/>
          <w:szCs w:val="28"/>
          <w:highlight w:val="none"/>
        </w:rPr>
        <w:t>【</w:t>
      </w:r>
      <w:r>
        <w:rPr>
          <w:rFonts w:hAnsi="宋体" w:eastAsia="宋体"/>
          <w:color w:val="auto"/>
          <w:sz w:val="24"/>
          <w:szCs w:val="28"/>
          <w:highlight w:val="none"/>
        </w:rPr>
        <w:t>国产设备</w:t>
      </w:r>
      <w:r>
        <w:rPr>
          <w:rFonts w:hint="eastAsia" w:hAnsi="宋体" w:eastAsia="宋体"/>
          <w:color w:val="auto"/>
          <w:sz w:val="24"/>
          <w:szCs w:val="28"/>
          <w:highlight w:val="none"/>
        </w:rPr>
        <w:t>及进口设备（非免税）】：货物交付、安装、调试且通过验收后一周内（遇寒暑假和法定节假日顺延）甲方支付合同总金额的100%，付款之前需收到乙方开具的合法有效的相应金额发票。</w:t>
      </w:r>
    </w:p>
    <w:p w14:paraId="33074A4E">
      <w:pPr>
        <w:pStyle w:val="2"/>
        <w:rPr>
          <w:rFonts w:asciiTheme="majorEastAsia" w:hAnsiTheme="majorEastAsia" w:eastAsiaTheme="majorEastAsia"/>
          <w:b/>
          <w:color w:val="auto"/>
          <w:szCs w:val="32"/>
          <w:highlight w:val="none"/>
        </w:rPr>
      </w:pPr>
    </w:p>
    <w:p w14:paraId="33074A4F">
      <w:pPr>
        <w:pStyle w:val="2"/>
        <w:pageBreakBefore/>
        <w:rPr>
          <w:rFonts w:asciiTheme="majorEastAsia" w:hAnsiTheme="majorEastAsia" w:eastAsiaTheme="majorEastAsia"/>
          <w:b/>
          <w:color w:val="auto"/>
          <w:sz w:val="32"/>
          <w:szCs w:val="32"/>
          <w:highlight w:val="none"/>
        </w:rPr>
      </w:pPr>
      <w:bookmarkStart w:id="52" w:name="_Toc23581"/>
      <w:r>
        <w:rPr>
          <w:rFonts w:hint="eastAsia" w:asciiTheme="majorEastAsia" w:hAnsiTheme="majorEastAsia" w:eastAsiaTheme="majorEastAsia"/>
          <w:b/>
          <w:color w:val="auto"/>
          <w:sz w:val="32"/>
          <w:szCs w:val="32"/>
          <w:highlight w:val="none"/>
        </w:rPr>
        <w:t>第四章  评标方法与评标标准</w:t>
      </w:r>
      <w:bookmarkEnd w:id="52"/>
    </w:p>
    <w:p w14:paraId="33074A50">
      <w:pPr>
        <w:rPr>
          <w:color w:val="auto"/>
          <w:highlight w:val="none"/>
        </w:rPr>
      </w:pPr>
    </w:p>
    <w:p w14:paraId="33074A51">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一、评标方法</w:t>
      </w:r>
    </w:p>
    <w:p w14:paraId="33074A52">
      <w:pPr>
        <w:pStyle w:val="36"/>
        <w:ind w:firstLineChars="200"/>
        <w:rPr>
          <w:rFonts w:cs="Arial"/>
          <w:color w:val="auto"/>
          <w:highlight w:val="none"/>
        </w:rPr>
      </w:pPr>
      <w:r>
        <w:rPr>
          <w:rFonts w:hint="eastAsia" w:cs="Arial"/>
          <w:color w:val="auto"/>
          <w:highlight w:val="none"/>
        </w:rPr>
        <w:t>本项目采用综合评分法，评分统计方法采用百分制（满分</w:t>
      </w:r>
      <w:r>
        <w:rPr>
          <w:rFonts w:cs="Arial"/>
          <w:color w:val="auto"/>
          <w:highlight w:val="none"/>
        </w:rPr>
        <w:t>100</w:t>
      </w:r>
      <w:r>
        <w:rPr>
          <w:rFonts w:hint="eastAsia" w:cs="Arial"/>
          <w:color w:val="auto"/>
          <w:highlight w:val="none"/>
        </w:rPr>
        <w:t>分），将全部评委评分直接进行算术平均，小数点后保留</w:t>
      </w:r>
      <w:r>
        <w:rPr>
          <w:rFonts w:cs="Arial"/>
          <w:color w:val="auto"/>
          <w:highlight w:val="none"/>
        </w:rPr>
        <w:t>2</w:t>
      </w:r>
      <w:r>
        <w:rPr>
          <w:rFonts w:hint="eastAsia" w:cs="Arial"/>
          <w:color w:val="auto"/>
          <w:highlight w:val="none"/>
        </w:rPr>
        <w:t>位。</w:t>
      </w:r>
    </w:p>
    <w:p w14:paraId="33074A53">
      <w:pPr>
        <w:pStyle w:val="36"/>
        <w:rPr>
          <w:rFonts w:ascii="宋体" w:hAnsi="宋体" w:cs="宋体"/>
          <w:b/>
          <w:color w:val="auto"/>
          <w:highlight w:val="none"/>
        </w:rPr>
      </w:pPr>
      <w:r>
        <w:rPr>
          <w:rFonts w:hint="eastAsia" w:ascii="宋体" w:hAnsi="宋体" w:cs="宋体"/>
          <w:bCs/>
          <w:color w:val="auto"/>
          <w:highlight w:val="none"/>
        </w:rPr>
        <w:t>评委会将对确定为实质性响应招标文件要求的投标文件进行评价和比较，</w:t>
      </w:r>
      <w:r>
        <w:rPr>
          <w:rFonts w:hint="eastAsia" w:ascii="宋体" w:hAnsi="宋体" w:cs="宋体"/>
          <w:color w:val="auto"/>
          <w:highlight w:val="none"/>
        </w:rPr>
        <w:t>评标结果按评审后得分由高到低顺序排列。得分相同的，按投标报价由低到高顺序排列，得分且投标报价相同的按照技术指标得分由低到高顺序排列。投标文件满足招标文件全部实质性要求，且按照评审因素的量化指标评审得分最高的投标人为排名第一的中标候选人。</w:t>
      </w:r>
    </w:p>
    <w:bookmarkEnd w:id="51"/>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264"/>
        <w:gridCol w:w="5904"/>
        <w:gridCol w:w="659"/>
      </w:tblGrid>
      <w:tr w14:paraId="3307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5" w:type="dxa"/>
            <w:tcBorders>
              <w:top w:val="single" w:color="auto" w:sz="4" w:space="0"/>
              <w:left w:val="single" w:color="auto" w:sz="4" w:space="0"/>
              <w:bottom w:val="single" w:color="auto" w:sz="4" w:space="0"/>
              <w:right w:val="single" w:color="auto" w:sz="4" w:space="0"/>
            </w:tcBorders>
            <w:vAlign w:val="center"/>
          </w:tcPr>
          <w:p w14:paraId="33074A54">
            <w:pPr>
              <w:spacing w:line="400" w:lineRule="exact"/>
              <w:jc w:val="center"/>
              <w:rPr>
                <w:rFonts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br w:type="page"/>
            </w:r>
            <w:r>
              <w:rPr>
                <w:rFonts w:hint="eastAsia" w:ascii="宋体" w:hAnsi="宋体" w:cs="宋体"/>
                <w:b/>
                <w:color w:val="auto"/>
                <w:sz w:val="24"/>
                <w:highlight w:val="none"/>
              </w:rPr>
              <w:t>序号</w:t>
            </w:r>
          </w:p>
        </w:tc>
        <w:tc>
          <w:tcPr>
            <w:tcW w:w="1264" w:type="dxa"/>
            <w:tcBorders>
              <w:top w:val="single" w:color="auto" w:sz="4" w:space="0"/>
              <w:left w:val="single" w:color="auto" w:sz="4" w:space="0"/>
              <w:bottom w:val="single" w:color="auto" w:sz="4" w:space="0"/>
              <w:right w:val="single" w:color="auto" w:sz="4" w:space="0"/>
            </w:tcBorders>
            <w:vAlign w:val="center"/>
          </w:tcPr>
          <w:p w14:paraId="33074A55">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评分项目</w:t>
            </w:r>
          </w:p>
        </w:tc>
        <w:tc>
          <w:tcPr>
            <w:tcW w:w="5904" w:type="dxa"/>
            <w:tcBorders>
              <w:top w:val="single" w:color="auto" w:sz="4" w:space="0"/>
              <w:left w:val="single" w:color="auto" w:sz="4" w:space="0"/>
              <w:bottom w:val="single" w:color="auto" w:sz="4" w:space="0"/>
              <w:right w:val="single" w:color="auto" w:sz="4" w:space="0"/>
            </w:tcBorders>
            <w:vAlign w:val="center"/>
          </w:tcPr>
          <w:p w14:paraId="33074A56">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评分标准及细则</w:t>
            </w:r>
          </w:p>
        </w:tc>
        <w:tc>
          <w:tcPr>
            <w:tcW w:w="659" w:type="dxa"/>
            <w:tcBorders>
              <w:top w:val="single" w:color="auto" w:sz="4" w:space="0"/>
              <w:left w:val="single" w:color="auto" w:sz="4" w:space="0"/>
              <w:bottom w:val="single" w:color="auto" w:sz="4" w:space="0"/>
              <w:right w:val="single" w:color="auto" w:sz="4" w:space="0"/>
            </w:tcBorders>
            <w:vAlign w:val="center"/>
          </w:tcPr>
          <w:p w14:paraId="33074A57">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分值</w:t>
            </w:r>
          </w:p>
        </w:tc>
      </w:tr>
      <w:tr w14:paraId="3307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695" w:type="dxa"/>
            <w:tcBorders>
              <w:top w:val="single" w:color="auto" w:sz="4" w:space="0"/>
              <w:left w:val="single" w:color="auto" w:sz="4" w:space="0"/>
              <w:bottom w:val="single" w:color="auto" w:sz="4" w:space="0"/>
              <w:right w:val="single" w:color="auto" w:sz="4" w:space="0"/>
            </w:tcBorders>
            <w:vAlign w:val="center"/>
          </w:tcPr>
          <w:p w14:paraId="33074A59">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264" w:type="dxa"/>
            <w:tcBorders>
              <w:top w:val="single" w:color="auto" w:sz="4" w:space="0"/>
              <w:left w:val="single" w:color="auto" w:sz="4" w:space="0"/>
              <w:bottom w:val="single" w:color="auto" w:sz="4" w:space="0"/>
              <w:right w:val="single" w:color="auto" w:sz="4" w:space="0"/>
            </w:tcBorders>
            <w:vAlign w:val="center"/>
          </w:tcPr>
          <w:p w14:paraId="33074A5A">
            <w:pPr>
              <w:spacing w:line="400" w:lineRule="exact"/>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价格分</w:t>
            </w:r>
          </w:p>
        </w:tc>
        <w:tc>
          <w:tcPr>
            <w:tcW w:w="5904" w:type="dxa"/>
            <w:tcBorders>
              <w:top w:val="single" w:color="auto" w:sz="4" w:space="0"/>
              <w:left w:val="single" w:color="auto" w:sz="4" w:space="0"/>
              <w:bottom w:val="single" w:color="auto" w:sz="4" w:space="0"/>
              <w:right w:val="single" w:color="auto" w:sz="4" w:space="0"/>
            </w:tcBorders>
            <w:vAlign w:val="center"/>
          </w:tcPr>
          <w:p w14:paraId="33074A5B">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价格分采用低价优先法计算，即满足采购文件要求且报价最低的投标人的最终报价为评审基准价，其价格分为满分30 分，其它投标人的价格分统一按照以下公式计算：</w:t>
            </w:r>
          </w:p>
          <w:p w14:paraId="33074A5C">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报价得分=(评审基准价/该投标人的最终报价)×30分。</w:t>
            </w:r>
            <w:r>
              <w:rPr>
                <w:rFonts w:ascii="宋体" w:hAnsi="宋体"/>
                <w:bCs/>
                <w:color w:val="auto"/>
                <w:sz w:val="24"/>
                <w:highlight w:val="none"/>
              </w:rPr>
              <w:t>分值保留小数点后2位。</w:t>
            </w:r>
          </w:p>
        </w:tc>
        <w:tc>
          <w:tcPr>
            <w:tcW w:w="659" w:type="dxa"/>
            <w:tcBorders>
              <w:top w:val="single" w:color="auto" w:sz="4" w:space="0"/>
              <w:left w:val="single" w:color="auto" w:sz="4" w:space="0"/>
              <w:bottom w:val="single" w:color="auto" w:sz="4" w:space="0"/>
              <w:right w:val="single" w:color="auto" w:sz="4" w:space="0"/>
            </w:tcBorders>
            <w:vAlign w:val="center"/>
          </w:tcPr>
          <w:p w14:paraId="33074A5D">
            <w:pPr>
              <w:spacing w:line="400" w:lineRule="exact"/>
              <w:jc w:val="center"/>
              <w:textAlignment w:val="center"/>
              <w:rPr>
                <w:rFonts w:ascii="宋体" w:hAnsi="宋体" w:cs="宋体"/>
                <w:color w:val="auto"/>
                <w:sz w:val="24"/>
                <w:szCs w:val="24"/>
                <w:highlight w:val="none"/>
              </w:rPr>
            </w:pPr>
            <w:r>
              <w:rPr>
                <w:rFonts w:hint="eastAsia" w:ascii="宋体" w:hAnsi="宋体"/>
                <w:color w:val="auto"/>
                <w:sz w:val="24"/>
                <w:szCs w:val="24"/>
                <w:highlight w:val="none"/>
              </w:rPr>
              <w:t>30</w:t>
            </w:r>
          </w:p>
        </w:tc>
      </w:tr>
      <w:tr w14:paraId="3307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695" w:type="dxa"/>
            <w:tcBorders>
              <w:left w:val="single" w:color="auto" w:sz="4" w:space="0"/>
              <w:right w:val="single" w:color="auto" w:sz="4" w:space="0"/>
            </w:tcBorders>
            <w:vAlign w:val="center"/>
          </w:tcPr>
          <w:p w14:paraId="33074A5F">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264" w:type="dxa"/>
            <w:tcBorders>
              <w:left w:val="single" w:color="auto" w:sz="4" w:space="0"/>
              <w:right w:val="single" w:color="auto" w:sz="4" w:space="0"/>
            </w:tcBorders>
            <w:vAlign w:val="center"/>
          </w:tcPr>
          <w:p w14:paraId="33074A60">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技术指标</w:t>
            </w:r>
          </w:p>
        </w:tc>
        <w:tc>
          <w:tcPr>
            <w:tcW w:w="5904" w:type="dxa"/>
            <w:tcBorders>
              <w:top w:val="single" w:color="auto" w:sz="4" w:space="0"/>
              <w:left w:val="single" w:color="auto" w:sz="4" w:space="0"/>
              <w:bottom w:val="single" w:color="auto" w:sz="4" w:space="0"/>
              <w:right w:val="single" w:color="auto" w:sz="4" w:space="0"/>
            </w:tcBorders>
            <w:vAlign w:val="center"/>
          </w:tcPr>
          <w:p w14:paraId="33074A61">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投标人对招标文件具体项目需求的响应程度：全部响应即满足招标文件的技术指标、参数及服务要求的得36分，带“★”的条款为实质性指标，不满足按无效投标处理；带“▲”的条款为重要技术指标，如带“▲”条款存在负偏离的，负偏离1项扣 3分；其他技术指标，每负偏离1项扣1分，扣完为止。</w:t>
            </w:r>
          </w:p>
          <w:p w14:paraId="33074A62">
            <w:pPr>
              <w:spacing w:line="400" w:lineRule="exact"/>
              <w:rPr>
                <w:rFonts w:ascii="宋体" w:hAnsi="宋体" w:cs="宋体"/>
                <w:color w:val="auto"/>
                <w:sz w:val="24"/>
                <w:szCs w:val="24"/>
                <w:highlight w:val="none"/>
              </w:rPr>
            </w:pPr>
            <w:r>
              <w:rPr>
                <w:rFonts w:hint="eastAsia" w:ascii="宋体" w:hAnsi="宋体"/>
                <w:bCs/>
                <w:color w:val="auto"/>
                <w:sz w:val="24"/>
                <w:highlight w:val="none"/>
              </w:rPr>
              <w:t>注：</w:t>
            </w:r>
            <w:r>
              <w:rPr>
                <w:rFonts w:hint="eastAsia" w:ascii="宋体" w:hAnsi="宋体" w:cs="Times New Roman"/>
                <w:color w:val="auto"/>
                <w:kern w:val="2"/>
                <w:sz w:val="24"/>
                <w:szCs w:val="24"/>
                <w:highlight w:val="none"/>
              </w:rPr>
              <w:t>“★”和“▲”的技术参数响应需提供支撑资料（提供相关证明材料并加盖投标单位公章，包括但不限于明确说明该技术内容的公开发行的产品彩页或产品说明书或第三方检测机构的检测报告等，自拟无效），如未附有效支撑材料或者所附的支撑材料由评标委员会认为不能佐证技术指标的有效性的，则视为负偏离。）如文件中要求提供证明材料，建议采用箭头、标红或下划线等进行明显标注，并在偏离表中标明页码，方便评委查看。</w:t>
            </w:r>
          </w:p>
        </w:tc>
        <w:tc>
          <w:tcPr>
            <w:tcW w:w="659" w:type="dxa"/>
            <w:tcBorders>
              <w:top w:val="single" w:color="auto" w:sz="4" w:space="0"/>
              <w:left w:val="single" w:color="auto" w:sz="4" w:space="0"/>
              <w:bottom w:val="single" w:color="auto" w:sz="4" w:space="0"/>
              <w:right w:val="single" w:color="auto" w:sz="4" w:space="0"/>
            </w:tcBorders>
            <w:vAlign w:val="center"/>
          </w:tcPr>
          <w:p w14:paraId="33074A63">
            <w:pPr>
              <w:spacing w:line="400" w:lineRule="exact"/>
              <w:jc w:val="center"/>
              <w:textAlignment w:val="center"/>
              <w:rPr>
                <w:rFonts w:ascii="宋体" w:hAnsi="宋体" w:eastAsia="宋体" w:cs="宋体"/>
                <w:color w:val="auto"/>
                <w:sz w:val="24"/>
                <w:szCs w:val="24"/>
                <w:highlight w:val="none"/>
              </w:rPr>
            </w:pPr>
            <w:r>
              <w:rPr>
                <w:rFonts w:hint="eastAsia" w:ascii="宋体" w:hAnsi="宋体" w:cs="宋体"/>
                <w:color w:val="auto"/>
                <w:sz w:val="24"/>
                <w:szCs w:val="24"/>
                <w:highlight w:val="none"/>
              </w:rPr>
              <w:t>32</w:t>
            </w:r>
          </w:p>
        </w:tc>
      </w:tr>
      <w:tr w14:paraId="3307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695" w:type="dxa"/>
            <w:tcBorders>
              <w:left w:val="single" w:color="auto" w:sz="4" w:space="0"/>
              <w:right w:val="single" w:color="auto" w:sz="4" w:space="0"/>
            </w:tcBorders>
            <w:vAlign w:val="center"/>
          </w:tcPr>
          <w:p w14:paraId="33074A65">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264" w:type="dxa"/>
            <w:tcBorders>
              <w:left w:val="single" w:color="auto" w:sz="4" w:space="0"/>
              <w:right w:val="single" w:color="auto" w:sz="4" w:space="0"/>
            </w:tcBorders>
            <w:vAlign w:val="center"/>
          </w:tcPr>
          <w:p w14:paraId="33074A66">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业绩</w:t>
            </w:r>
          </w:p>
        </w:tc>
        <w:tc>
          <w:tcPr>
            <w:tcW w:w="5904" w:type="dxa"/>
            <w:tcBorders>
              <w:top w:val="single" w:color="auto" w:sz="4" w:space="0"/>
              <w:left w:val="single" w:color="auto" w:sz="4" w:space="0"/>
              <w:bottom w:val="single" w:color="auto" w:sz="4" w:space="0"/>
              <w:right w:val="single" w:color="auto" w:sz="4" w:space="0"/>
            </w:tcBorders>
            <w:vAlign w:val="center"/>
          </w:tcPr>
          <w:p w14:paraId="33074A67">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供应商或厂家提供自 2023年 1月 1 日至今承揽过类似项目业绩的，每提供一个得2 分，最高得 4分。</w:t>
            </w:r>
          </w:p>
          <w:p w14:paraId="33074A68">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（提供业绩合同复印件加盖公章，合同需体现相关内容，未体现不得分，合同原件备查）</w:t>
            </w:r>
          </w:p>
        </w:tc>
        <w:tc>
          <w:tcPr>
            <w:tcW w:w="659" w:type="dxa"/>
            <w:tcBorders>
              <w:top w:val="single" w:color="auto" w:sz="4" w:space="0"/>
              <w:left w:val="single" w:color="auto" w:sz="4" w:space="0"/>
              <w:bottom w:val="single" w:color="auto" w:sz="4" w:space="0"/>
              <w:right w:val="single" w:color="auto" w:sz="4" w:space="0"/>
            </w:tcBorders>
            <w:vAlign w:val="center"/>
          </w:tcPr>
          <w:p w14:paraId="33074A69">
            <w:pPr>
              <w:spacing w:line="400" w:lineRule="exact"/>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r>
      <w:tr w14:paraId="3307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5" w:type="dxa"/>
            <w:tcBorders>
              <w:left w:val="single" w:color="auto" w:sz="4" w:space="0"/>
              <w:right w:val="single" w:color="auto" w:sz="4" w:space="0"/>
            </w:tcBorders>
            <w:vAlign w:val="center"/>
          </w:tcPr>
          <w:p w14:paraId="33074A6B">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264" w:type="dxa"/>
            <w:tcBorders>
              <w:left w:val="single" w:color="auto" w:sz="4" w:space="0"/>
              <w:right w:val="single" w:color="auto" w:sz="4" w:space="0"/>
            </w:tcBorders>
            <w:vAlign w:val="center"/>
          </w:tcPr>
          <w:p w14:paraId="33074A6C">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实施方案</w:t>
            </w:r>
          </w:p>
        </w:tc>
        <w:tc>
          <w:tcPr>
            <w:tcW w:w="5904" w:type="dxa"/>
            <w:tcBorders>
              <w:top w:val="single" w:color="auto" w:sz="4" w:space="0"/>
              <w:left w:val="single" w:color="auto" w:sz="4" w:space="0"/>
              <w:bottom w:val="single" w:color="auto" w:sz="4" w:space="0"/>
              <w:right w:val="single" w:color="auto" w:sz="4" w:space="0"/>
            </w:tcBorders>
            <w:vAlign w:val="center"/>
          </w:tcPr>
          <w:p w14:paraId="33074A6D">
            <w:pPr>
              <w:spacing w:beforeAutospacing="1" w:line="400" w:lineRule="exact"/>
              <w:rPr>
                <w:rFonts w:ascii="宋体" w:hAnsi="宋体" w:cs="宋体"/>
                <w:color w:val="auto"/>
                <w:sz w:val="24"/>
                <w:szCs w:val="24"/>
                <w:highlight w:val="none"/>
              </w:rPr>
            </w:pPr>
            <w:r>
              <w:rPr>
                <w:rFonts w:hint="eastAsia" w:ascii="宋体" w:hAnsi="宋体" w:cs="宋体"/>
                <w:color w:val="auto"/>
                <w:sz w:val="24"/>
                <w:szCs w:val="24"/>
                <w:highlight w:val="none"/>
                <w:lang w:bidi="ar"/>
              </w:rPr>
              <w:t>根据投标人提供的项目供货安、配送、安装等进行打分。实施方案全面，具有合理的供货进度安排和配送组织架构，具有良好的进度控制、风险控制管理、质量保障措施，得8分；实施方案较全面，供货进度安排和配送组织架构较合理，进度控制、风险控制管理、质量保障措施较全面，得5分；实施方案全面性有所欠缺，供货进度安排和配送组织架构合理性有欠缺，得3分；方案缺失较多、完整性及可行性差，得1分；未描述或者完全不能满足项目需要的，得0分。</w:t>
            </w:r>
          </w:p>
        </w:tc>
        <w:tc>
          <w:tcPr>
            <w:tcW w:w="659" w:type="dxa"/>
            <w:tcBorders>
              <w:top w:val="single" w:color="auto" w:sz="4" w:space="0"/>
              <w:left w:val="single" w:color="auto" w:sz="4" w:space="0"/>
              <w:bottom w:val="single" w:color="auto" w:sz="4" w:space="0"/>
              <w:right w:val="single" w:color="auto" w:sz="4" w:space="0"/>
            </w:tcBorders>
            <w:vAlign w:val="center"/>
          </w:tcPr>
          <w:p w14:paraId="33074A6E">
            <w:pPr>
              <w:spacing w:line="400" w:lineRule="exact"/>
              <w:jc w:val="center"/>
              <w:textAlignment w:val="center"/>
              <w:rPr>
                <w:rFonts w:ascii="宋体" w:hAnsi="宋体" w:eastAsia="宋体" w:cs="宋体"/>
                <w:color w:val="auto"/>
                <w:sz w:val="24"/>
                <w:szCs w:val="24"/>
                <w:highlight w:val="none"/>
              </w:rPr>
            </w:pPr>
            <w:r>
              <w:rPr>
                <w:rFonts w:hint="eastAsia" w:ascii="宋体" w:hAnsi="宋体" w:cs="宋体"/>
                <w:color w:val="auto"/>
                <w:sz w:val="24"/>
                <w:szCs w:val="24"/>
                <w:highlight w:val="none"/>
              </w:rPr>
              <w:t>8</w:t>
            </w:r>
          </w:p>
        </w:tc>
      </w:tr>
      <w:tr w14:paraId="3307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2" w:hRule="atLeast"/>
          <w:jc w:val="center"/>
        </w:trPr>
        <w:tc>
          <w:tcPr>
            <w:tcW w:w="695" w:type="dxa"/>
            <w:tcBorders>
              <w:left w:val="single" w:color="auto" w:sz="4" w:space="0"/>
              <w:right w:val="single" w:color="auto" w:sz="4" w:space="0"/>
            </w:tcBorders>
            <w:vAlign w:val="center"/>
          </w:tcPr>
          <w:p w14:paraId="33074A70">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1264" w:type="dxa"/>
            <w:tcBorders>
              <w:left w:val="single" w:color="auto" w:sz="4" w:space="0"/>
              <w:right w:val="single" w:color="auto" w:sz="4" w:space="0"/>
            </w:tcBorders>
            <w:vAlign w:val="center"/>
          </w:tcPr>
          <w:p w14:paraId="33074A71">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售后服务</w:t>
            </w:r>
          </w:p>
        </w:tc>
        <w:tc>
          <w:tcPr>
            <w:tcW w:w="5904" w:type="dxa"/>
            <w:tcBorders>
              <w:top w:val="single" w:color="auto" w:sz="4" w:space="0"/>
              <w:left w:val="single" w:color="auto" w:sz="4" w:space="0"/>
              <w:right w:val="single" w:color="auto" w:sz="4" w:space="0"/>
            </w:tcBorders>
            <w:vAlign w:val="center"/>
          </w:tcPr>
          <w:p w14:paraId="33074A72">
            <w:pPr>
              <w:spacing w:beforeAutospacing="1" w:line="400" w:lineRule="exact"/>
              <w:rPr>
                <w:rFonts w:ascii="宋体" w:hAnsi="宋体" w:cs="宋体"/>
                <w:color w:val="auto"/>
                <w:sz w:val="24"/>
                <w:szCs w:val="24"/>
                <w:highlight w:val="none"/>
              </w:rPr>
            </w:pPr>
            <w:r>
              <w:rPr>
                <w:rFonts w:hint="eastAsia" w:ascii="宋体" w:hAnsi="宋体" w:cs="宋体"/>
                <w:color w:val="auto"/>
                <w:sz w:val="24"/>
                <w:szCs w:val="24"/>
                <w:highlight w:val="none"/>
                <w:lang w:bidi="ar"/>
              </w:rPr>
              <w:t>根据投标人提供的售后服务体系、售后服务人员、售后服务承诺、售后服务应答及处理时间，质保期内的售后服务范围、质保期满后的售后服务范围进行打分。方案详细，可操作性强，完全满足项目需要的，得8分；方案较详细，可操作性较强，基本满足项目需求，略有欠缺需要完善的，得5分；方案不够详细，可操作性一般，基本满足项目需要的，得3分；方案内容缺失较多、完整性及可行性差的，得1分；未描述或者完全不能满足项目需要的，得0分。</w:t>
            </w:r>
          </w:p>
        </w:tc>
        <w:tc>
          <w:tcPr>
            <w:tcW w:w="659" w:type="dxa"/>
            <w:tcBorders>
              <w:top w:val="single" w:color="auto" w:sz="4" w:space="0"/>
              <w:left w:val="single" w:color="auto" w:sz="4" w:space="0"/>
              <w:right w:val="single" w:color="auto" w:sz="4" w:space="0"/>
            </w:tcBorders>
            <w:vAlign w:val="center"/>
          </w:tcPr>
          <w:p w14:paraId="33074A73">
            <w:pPr>
              <w:spacing w:beforeAutospacing="1" w:line="400" w:lineRule="exact"/>
              <w:jc w:val="center"/>
              <w:textAlignment w:val="center"/>
              <w:rPr>
                <w:rFonts w:ascii="宋体" w:hAnsi="宋体" w:eastAsia="宋体" w:cs="宋体"/>
                <w:color w:val="auto"/>
                <w:sz w:val="24"/>
                <w:szCs w:val="24"/>
                <w:highlight w:val="none"/>
              </w:rPr>
            </w:pPr>
            <w:r>
              <w:rPr>
                <w:rFonts w:hint="eastAsia" w:ascii="宋体" w:hAnsi="宋体" w:cs="宋体"/>
                <w:color w:val="auto"/>
                <w:sz w:val="24"/>
                <w:szCs w:val="24"/>
                <w:highlight w:val="none"/>
                <w:lang w:bidi="ar"/>
              </w:rPr>
              <w:t>8</w:t>
            </w:r>
          </w:p>
        </w:tc>
      </w:tr>
      <w:tr w14:paraId="3307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2" w:hRule="atLeast"/>
          <w:jc w:val="center"/>
        </w:trPr>
        <w:tc>
          <w:tcPr>
            <w:tcW w:w="695" w:type="dxa"/>
            <w:tcBorders>
              <w:left w:val="single" w:color="auto" w:sz="4" w:space="0"/>
              <w:right w:val="single" w:color="auto" w:sz="4" w:space="0"/>
            </w:tcBorders>
            <w:vAlign w:val="center"/>
          </w:tcPr>
          <w:p w14:paraId="33074A75">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1264" w:type="dxa"/>
            <w:tcBorders>
              <w:left w:val="single" w:color="auto" w:sz="4" w:space="0"/>
              <w:right w:val="single" w:color="auto" w:sz="4" w:space="0"/>
            </w:tcBorders>
            <w:vAlign w:val="center"/>
          </w:tcPr>
          <w:p w14:paraId="33074A76">
            <w:pPr>
              <w:spacing w:beforeAutospacing="1" w:line="400" w:lineRule="exact"/>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项目验收方案</w:t>
            </w:r>
          </w:p>
          <w:p w14:paraId="33074A77">
            <w:pPr>
              <w:spacing w:line="400" w:lineRule="exact"/>
              <w:jc w:val="center"/>
              <w:rPr>
                <w:rFonts w:ascii="宋体" w:hAnsi="宋体" w:cs="宋体"/>
                <w:color w:val="auto"/>
                <w:sz w:val="24"/>
                <w:szCs w:val="24"/>
                <w:highlight w:val="none"/>
              </w:rPr>
            </w:pPr>
          </w:p>
        </w:tc>
        <w:tc>
          <w:tcPr>
            <w:tcW w:w="5904" w:type="dxa"/>
            <w:tcBorders>
              <w:top w:val="single" w:color="auto" w:sz="4" w:space="0"/>
              <w:left w:val="single" w:color="auto" w:sz="4" w:space="0"/>
              <w:right w:val="single" w:color="auto" w:sz="4" w:space="0"/>
            </w:tcBorders>
            <w:vAlign w:val="center"/>
          </w:tcPr>
          <w:p w14:paraId="33074A78">
            <w:pPr>
              <w:spacing w:beforeAutospacing="1" w:line="400" w:lineRule="exact"/>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评标委员会根据供应商针对本项目的项目需求及项目要点提供的项目验收方案进行打分，包括但不限于全部产品的安装部署、联合调试方案、供货及安装各节点时间进度、人员配置安排等：</w:t>
            </w:r>
          </w:p>
          <w:p w14:paraId="33074A79">
            <w:pPr>
              <w:spacing w:beforeAutospacing="1" w:line="400" w:lineRule="exact"/>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验收方案全面，针对性强，能完全满足本项目需求的，得6分；</w:t>
            </w:r>
          </w:p>
          <w:p w14:paraId="33074A7A">
            <w:pPr>
              <w:spacing w:beforeAutospacing="1" w:line="400" w:lineRule="exact"/>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验收方案较全面、针对性较强，能满足本项目需求的，得4分；</w:t>
            </w:r>
          </w:p>
          <w:p w14:paraId="33074A7B">
            <w:pPr>
              <w:spacing w:beforeAutospacing="1" w:line="400" w:lineRule="exact"/>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验收方案一般，针对性、可行性一般，勉强能满足本项目需求的，得2分；</w:t>
            </w:r>
          </w:p>
          <w:p w14:paraId="33074A7C">
            <w:pPr>
              <w:spacing w:beforeAutospacing="1" w:line="400" w:lineRule="exact"/>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其他或未提供不得分。</w:t>
            </w:r>
          </w:p>
        </w:tc>
        <w:tc>
          <w:tcPr>
            <w:tcW w:w="659" w:type="dxa"/>
            <w:tcBorders>
              <w:top w:val="single" w:color="auto" w:sz="4" w:space="0"/>
              <w:left w:val="single" w:color="auto" w:sz="4" w:space="0"/>
              <w:right w:val="single" w:color="auto" w:sz="4" w:space="0"/>
            </w:tcBorders>
            <w:vAlign w:val="center"/>
          </w:tcPr>
          <w:p w14:paraId="33074A7D">
            <w:pPr>
              <w:spacing w:beforeAutospacing="1" w:line="400" w:lineRule="exact"/>
              <w:jc w:val="center"/>
              <w:textAlignment w:val="center"/>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6</w:t>
            </w:r>
          </w:p>
        </w:tc>
      </w:tr>
      <w:tr w14:paraId="3307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695" w:type="dxa"/>
            <w:tcBorders>
              <w:left w:val="single" w:color="auto" w:sz="4" w:space="0"/>
              <w:right w:val="single" w:color="auto" w:sz="4" w:space="0"/>
            </w:tcBorders>
            <w:vAlign w:val="center"/>
          </w:tcPr>
          <w:p w14:paraId="33074A7F">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1264" w:type="dxa"/>
            <w:tcBorders>
              <w:left w:val="single" w:color="auto" w:sz="4" w:space="0"/>
              <w:right w:val="single" w:color="auto" w:sz="4" w:space="0"/>
            </w:tcBorders>
            <w:vAlign w:val="center"/>
          </w:tcPr>
          <w:p w14:paraId="33074A80">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培训</w:t>
            </w:r>
          </w:p>
        </w:tc>
        <w:tc>
          <w:tcPr>
            <w:tcW w:w="5904" w:type="dxa"/>
            <w:tcBorders>
              <w:top w:val="single" w:color="auto" w:sz="4" w:space="0"/>
              <w:left w:val="single" w:color="auto" w:sz="4" w:space="0"/>
              <w:bottom w:val="single" w:color="auto" w:sz="4" w:space="0"/>
              <w:right w:val="single" w:color="auto" w:sz="4" w:space="0"/>
            </w:tcBorders>
            <w:vAlign w:val="center"/>
          </w:tcPr>
          <w:p w14:paraId="33074A81">
            <w:pPr>
              <w:spacing w:beforeAutospacing="1" w:line="400" w:lineRule="exact"/>
              <w:rPr>
                <w:rFonts w:ascii="宋体" w:hAnsi="宋体" w:cs="宋体"/>
                <w:color w:val="auto"/>
                <w:sz w:val="24"/>
                <w:szCs w:val="24"/>
                <w:highlight w:val="none"/>
              </w:rPr>
            </w:pPr>
            <w:r>
              <w:rPr>
                <w:rFonts w:hint="eastAsia" w:ascii="宋体" w:hAnsi="宋体" w:cs="宋体"/>
                <w:color w:val="auto"/>
                <w:sz w:val="24"/>
                <w:szCs w:val="24"/>
                <w:highlight w:val="none"/>
                <w:lang w:bidi="ar"/>
              </w:rPr>
              <w:t>根据投标人对买方操作、维护人员的培训方案及计划等方面综合评分。方案详细，可操作性强，完全满足项目需要的，得8分；方案较详细，可操作性较强，基本满足项目需要，略有欠缺需要完善的，得5分；方案简单粗略，可操作性较差，基本满足项目需要的，得3分；方案内容缺失较多、完整性及可行性差的得1分；未描述的或者完全不能满足项目需要的，得0分。</w:t>
            </w:r>
          </w:p>
        </w:tc>
        <w:tc>
          <w:tcPr>
            <w:tcW w:w="659" w:type="dxa"/>
            <w:tcBorders>
              <w:top w:val="single" w:color="auto" w:sz="4" w:space="0"/>
              <w:left w:val="single" w:color="auto" w:sz="4" w:space="0"/>
              <w:bottom w:val="single" w:color="auto" w:sz="4" w:space="0"/>
              <w:right w:val="single" w:color="auto" w:sz="4" w:space="0"/>
            </w:tcBorders>
            <w:vAlign w:val="center"/>
          </w:tcPr>
          <w:p w14:paraId="33074A82">
            <w:pPr>
              <w:spacing w:beforeAutospacing="1" w:line="400" w:lineRule="exact"/>
              <w:jc w:val="center"/>
              <w:textAlignment w:val="center"/>
              <w:rPr>
                <w:rFonts w:ascii="宋体" w:hAnsi="宋体" w:eastAsia="宋体" w:cs="宋体"/>
                <w:color w:val="auto"/>
                <w:sz w:val="24"/>
                <w:szCs w:val="24"/>
                <w:highlight w:val="none"/>
              </w:rPr>
            </w:pPr>
            <w:r>
              <w:rPr>
                <w:rFonts w:hint="eastAsia" w:ascii="宋体" w:hAnsi="宋体" w:cs="宋体"/>
                <w:color w:val="auto"/>
                <w:sz w:val="24"/>
                <w:szCs w:val="24"/>
                <w:highlight w:val="none"/>
                <w:lang w:bidi="ar"/>
              </w:rPr>
              <w:t>8</w:t>
            </w:r>
          </w:p>
        </w:tc>
      </w:tr>
      <w:tr w14:paraId="3307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695" w:type="dxa"/>
            <w:tcBorders>
              <w:left w:val="single" w:color="auto" w:sz="4" w:space="0"/>
              <w:right w:val="single" w:color="auto" w:sz="4" w:space="0"/>
            </w:tcBorders>
            <w:vAlign w:val="center"/>
          </w:tcPr>
          <w:p w14:paraId="33074A84">
            <w:pPr>
              <w:spacing w:line="400" w:lineRule="exact"/>
              <w:jc w:val="center"/>
              <w:rPr>
                <w:rFonts w:ascii="宋体" w:hAnsi="宋体" w:eastAsia="宋体" w:cs="宋体"/>
                <w:color w:val="auto"/>
                <w:sz w:val="24"/>
                <w:szCs w:val="24"/>
                <w:highlight w:val="none"/>
              </w:rPr>
            </w:pPr>
            <w:r>
              <w:rPr>
                <w:rFonts w:hint="eastAsia" w:ascii="宋体" w:hAnsi="宋体" w:cs="宋体"/>
                <w:color w:val="auto"/>
                <w:sz w:val="24"/>
                <w:szCs w:val="24"/>
                <w:highlight w:val="none"/>
              </w:rPr>
              <w:t>8</w:t>
            </w:r>
          </w:p>
        </w:tc>
        <w:tc>
          <w:tcPr>
            <w:tcW w:w="1264" w:type="dxa"/>
            <w:tcBorders>
              <w:left w:val="single" w:color="auto" w:sz="4" w:space="0"/>
              <w:right w:val="single" w:color="auto" w:sz="4" w:space="0"/>
            </w:tcBorders>
            <w:vAlign w:val="center"/>
          </w:tcPr>
          <w:p w14:paraId="33074A85">
            <w:pPr>
              <w:spacing w:line="400" w:lineRule="exact"/>
              <w:jc w:val="center"/>
              <w:rPr>
                <w:rFonts w:ascii="宋体" w:hAnsi="宋体" w:eastAsia="宋体" w:cs="宋体"/>
                <w:color w:val="auto"/>
                <w:sz w:val="24"/>
                <w:szCs w:val="24"/>
                <w:highlight w:val="none"/>
              </w:rPr>
            </w:pPr>
            <w:r>
              <w:rPr>
                <w:rFonts w:hint="eastAsia" w:ascii="宋体" w:hAnsi="宋体" w:cs="宋体"/>
                <w:color w:val="auto"/>
                <w:sz w:val="24"/>
                <w:szCs w:val="24"/>
                <w:highlight w:val="none"/>
              </w:rPr>
              <w:t>质保</w:t>
            </w:r>
          </w:p>
        </w:tc>
        <w:tc>
          <w:tcPr>
            <w:tcW w:w="5904" w:type="dxa"/>
            <w:tcBorders>
              <w:top w:val="single" w:color="auto" w:sz="4" w:space="0"/>
              <w:left w:val="single" w:color="auto" w:sz="4" w:space="0"/>
              <w:bottom w:val="single" w:color="auto" w:sz="4" w:space="0"/>
              <w:right w:val="single" w:color="auto" w:sz="4" w:space="0"/>
            </w:tcBorders>
            <w:vAlign w:val="center"/>
          </w:tcPr>
          <w:p w14:paraId="33074A86">
            <w:pPr>
              <w:spacing w:beforeAutospacing="1" w:line="400" w:lineRule="exact"/>
              <w:rPr>
                <w:rFonts w:ascii="宋体" w:hAnsi="宋体" w:eastAsia="宋体" w:cs="宋体"/>
                <w:color w:val="auto"/>
                <w:sz w:val="24"/>
                <w:szCs w:val="24"/>
                <w:highlight w:val="none"/>
                <w:lang w:bidi="ar"/>
              </w:rPr>
            </w:pPr>
            <w:r>
              <w:rPr>
                <w:rFonts w:hint="eastAsia" w:ascii="宋体" w:hAnsi="宋体" w:cs="宋体"/>
                <w:color w:val="auto"/>
                <w:sz w:val="24"/>
                <w:szCs w:val="24"/>
                <w:highlight w:val="none"/>
                <w:lang w:bidi="ar"/>
              </w:rPr>
              <w:t>基础质保要求1年，加一年得2分，最高得4分。（提供承诺函并加盖投标人公章）</w:t>
            </w:r>
          </w:p>
        </w:tc>
        <w:tc>
          <w:tcPr>
            <w:tcW w:w="659" w:type="dxa"/>
            <w:tcBorders>
              <w:top w:val="single" w:color="auto" w:sz="4" w:space="0"/>
              <w:left w:val="single" w:color="auto" w:sz="4" w:space="0"/>
              <w:bottom w:val="single" w:color="auto" w:sz="4" w:space="0"/>
              <w:right w:val="single" w:color="auto" w:sz="4" w:space="0"/>
            </w:tcBorders>
            <w:vAlign w:val="center"/>
          </w:tcPr>
          <w:p w14:paraId="33074A87">
            <w:pPr>
              <w:spacing w:beforeAutospacing="1" w:line="400" w:lineRule="exact"/>
              <w:jc w:val="center"/>
              <w:textAlignment w:val="center"/>
              <w:rPr>
                <w:rFonts w:ascii="宋体" w:hAnsi="宋体" w:eastAsia="宋体" w:cs="宋体"/>
                <w:color w:val="auto"/>
                <w:sz w:val="24"/>
                <w:szCs w:val="24"/>
                <w:highlight w:val="none"/>
                <w:lang w:bidi="ar"/>
              </w:rPr>
            </w:pPr>
            <w:r>
              <w:rPr>
                <w:rFonts w:hint="eastAsia" w:ascii="宋体" w:hAnsi="宋体" w:cs="宋体"/>
                <w:color w:val="auto"/>
                <w:sz w:val="24"/>
                <w:szCs w:val="24"/>
                <w:highlight w:val="none"/>
                <w:lang w:bidi="ar"/>
              </w:rPr>
              <w:t>4</w:t>
            </w:r>
          </w:p>
        </w:tc>
      </w:tr>
      <w:tr w14:paraId="3307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59" w:type="dxa"/>
            <w:gridSpan w:val="2"/>
            <w:tcBorders>
              <w:left w:val="single" w:color="auto" w:sz="4" w:space="0"/>
              <w:right w:val="single" w:color="auto" w:sz="4" w:space="0"/>
            </w:tcBorders>
            <w:vAlign w:val="center"/>
          </w:tcPr>
          <w:p w14:paraId="33074A89">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总分</w:t>
            </w:r>
          </w:p>
        </w:tc>
        <w:tc>
          <w:tcPr>
            <w:tcW w:w="6563" w:type="dxa"/>
            <w:gridSpan w:val="2"/>
            <w:tcBorders>
              <w:top w:val="single" w:color="auto" w:sz="4" w:space="0"/>
              <w:left w:val="single" w:color="auto" w:sz="4" w:space="0"/>
              <w:right w:val="single" w:color="auto" w:sz="4" w:space="0"/>
            </w:tcBorders>
            <w:vAlign w:val="center"/>
          </w:tcPr>
          <w:p w14:paraId="33074A8A">
            <w:pPr>
              <w:spacing w:beforeAutospacing="1" w:line="400" w:lineRule="exact"/>
              <w:jc w:val="center"/>
              <w:textAlignment w:val="center"/>
              <w:rPr>
                <w:rFonts w:ascii="宋体" w:hAnsi="宋体" w:cs="宋体"/>
                <w:color w:val="auto"/>
                <w:sz w:val="24"/>
                <w:szCs w:val="24"/>
                <w:highlight w:val="none"/>
                <w:lang w:bidi="ar"/>
              </w:rPr>
            </w:pPr>
            <w:r>
              <w:rPr>
                <w:rFonts w:hint="eastAsia" w:ascii="宋体" w:hAnsi="宋体" w:cs="宋体"/>
                <w:color w:val="auto"/>
                <w:sz w:val="24"/>
                <w:szCs w:val="24"/>
                <w:highlight w:val="none"/>
                <w:lang w:bidi="ar"/>
              </w:rPr>
              <w:t>100分</w:t>
            </w:r>
          </w:p>
        </w:tc>
      </w:tr>
    </w:tbl>
    <w:p w14:paraId="33074A8C">
      <w:pPr>
        <w:ind w:firstLine="480" w:firstLineChars="200"/>
        <w:rPr>
          <w:rFonts w:ascii="宋体" w:hAnsi="宋体" w:eastAsia="宋体" w:cs="宋体"/>
          <w:bCs/>
          <w:color w:val="auto"/>
          <w:sz w:val="24"/>
          <w:szCs w:val="24"/>
          <w:highlight w:val="none"/>
        </w:rPr>
      </w:pPr>
    </w:p>
    <w:p w14:paraId="33074A8D">
      <w:pPr>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说明：</w:t>
      </w:r>
    </w:p>
    <w:p w14:paraId="33074A8E">
      <w:pPr>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
          <w:color w:val="auto"/>
          <w:sz w:val="24"/>
          <w:szCs w:val="24"/>
          <w:highlight w:val="none"/>
        </w:rPr>
        <w:t>所有认证、证明和业绩均以有效清晰的证明文件的复印件为依据。</w:t>
      </w:r>
    </w:p>
    <w:p w14:paraId="33074A8F">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2.小微企业价格扣除</w:t>
      </w:r>
    </w:p>
    <w:p w14:paraId="33074A90">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对于专门面向中小企业或小型、微型企业的项目，只面向中小企业或小型、微型企业采购。对于非专门面向中小企业的项目，对小型和微型企业的价格给予10%的扣除，用扣除后的价格参与评审。</w:t>
      </w:r>
    </w:p>
    <w:p w14:paraId="33074A91">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3.监狱和戒毒企业的价格扣除</w:t>
      </w:r>
    </w:p>
    <w:p w14:paraId="33074A92">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 本项目对监狱和戒毒企业，给予10%的价格扣除，用扣除后的价格参与评审。</w:t>
      </w:r>
    </w:p>
    <w:p w14:paraId="33074A93">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 监狱企业需提供由省级以上监狱管理局、戒毒管理局（含新疆生产建设兵团）出具的属于监狱企业的证明文件。</w:t>
      </w:r>
    </w:p>
    <w:p w14:paraId="33074A94">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 监狱企业标准请参照《关于政府采购支持监狱企业发展有关问题的通知》（财库〔2014〕68号）。</w:t>
      </w:r>
    </w:p>
    <w:p w14:paraId="33074A95">
      <w:pPr>
        <w:spacing w:line="360" w:lineRule="auto"/>
        <w:ind w:firstLine="482" w:firstLineChars="200"/>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4.残疾人福利性单位的价格扣除</w:t>
      </w:r>
    </w:p>
    <w:p w14:paraId="33074A96">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本项目对残疾人福利性单位，给予10%的价格扣除，用扣除后的价格参与评审。</w:t>
      </w:r>
    </w:p>
    <w:p w14:paraId="33074A97">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 残疾人福利性单位需提供《残疾人福利性单位声明函》</w:t>
      </w:r>
    </w:p>
    <w:p w14:paraId="33074A98">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4.3 残疾人福利性单位标准请参照《关于促进残疾人就业政府采购政策的通知》（财库〔2017〕141号）。</w:t>
      </w:r>
    </w:p>
    <w:p w14:paraId="33074A99">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监狱企业、残疾人福利性单位属于小型、微型企业的，不重复享受政策。</w:t>
      </w:r>
    </w:p>
    <w:p w14:paraId="33074A9A">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6.异常低价审查</w:t>
      </w:r>
    </w:p>
    <w:p w14:paraId="33074A9B">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6.1评标委员会启动异常低价投标审查的情形和具体要求，执行</w:t>
      </w:r>
      <w:r>
        <w:rPr>
          <w:rFonts w:hint="eastAsia" w:ascii="宋体" w:hAnsi="宋体" w:eastAsia="宋体" w:cs="宋体"/>
          <w:b/>
          <w:color w:val="auto"/>
          <w:sz w:val="24"/>
          <w:szCs w:val="24"/>
          <w:highlight w:val="none"/>
          <w:lang w:val="zh-CN"/>
        </w:rPr>
        <w:t>《关于推动解决政府采购异常低价问题相关工作的通知》（苏财购〔2025〕62号）</w:t>
      </w:r>
    </w:p>
    <w:p w14:paraId="33074A9C">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6.2评标过程中出现下列情形之一的，评标委员会应当启动异常低价投标审查程序： </w:t>
      </w:r>
    </w:p>
    <w:p w14:paraId="33074A9D">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1）投标报价低于招标项目预算50%的，即投标报价&lt;招标项目预算×50%； </w:t>
      </w:r>
    </w:p>
    <w:p w14:paraId="33074A9E">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2）投标报价低于招标项目最高限价45%的，即投标报价&lt;招标项目最高限价×45% ； </w:t>
      </w:r>
    </w:p>
    <w:p w14:paraId="33074A9F">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3）评标委员会认定的投标人报价过低、有可能影响产品质量或者不能诚信履约的其他情形。</w:t>
      </w:r>
    </w:p>
    <w:p w14:paraId="33074AA0">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6.3启动异常低价投标审查后，评标委员会应当要求相关投标人在评标现场合理的时间内，提供项目具体成本测算等与报价合理性相关的书面说明及相关证明材料，对投标价格作出解释，由评标委员会结合同类产品在主要电商平台的价格、该行业当地薪资水平等情况，依据专业经验对投标人报价合理性进行判断。投标人不提供书面说明、证明材料，或者提供的书面说明、证明材料不能证明其报价合理性的，评标委员会应当将其作为无效投标处理。审查相关情况应当在评审报告中进行记录。</w:t>
      </w:r>
    </w:p>
    <w:p w14:paraId="33074AA1">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w:t>
      </w:r>
      <w:r>
        <w:rPr>
          <w:rFonts w:ascii="宋体" w:hAnsi="宋体" w:eastAsia="宋体" w:cs="宋体"/>
          <w:b/>
          <w:color w:val="auto"/>
          <w:sz w:val="24"/>
          <w:szCs w:val="24"/>
          <w:highlight w:val="none"/>
        </w:rPr>
        <w:t>.本国产品的价格扣除</w:t>
      </w:r>
    </w:p>
    <w:p w14:paraId="33074AA2">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7.1</w:t>
      </w:r>
      <w:r>
        <w:rPr>
          <w:rFonts w:ascii="宋体" w:hAnsi="宋体" w:eastAsia="宋体" w:cs="宋体"/>
          <w:b/>
          <w:color w:val="auto"/>
          <w:sz w:val="24"/>
          <w:szCs w:val="24"/>
          <w:highlight w:val="none"/>
        </w:rPr>
        <w:t>本国产品标准、本国产品标准的适用范围、对本国产品的支持政策等详见《国务院办公厅关于在政府采购中实施本国产品标准及相关政策的通知》（国办发〔2025〕34号）。</w:t>
      </w:r>
    </w:p>
    <w:p w14:paraId="33074AA3">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w:t>
      </w:r>
      <w:r>
        <w:rPr>
          <w:rFonts w:ascii="宋体" w:hAnsi="宋体" w:eastAsia="宋体" w:cs="宋体"/>
          <w:b/>
          <w:color w:val="auto"/>
          <w:sz w:val="24"/>
          <w:szCs w:val="24"/>
          <w:highlight w:val="none"/>
        </w:rPr>
        <w:t>.2 政府采购活动中既有本国产品又有非本国产品参与竞争的，依法对本国产品给予价格评审优惠，对本国产品的报价给予20%的价格扣除，用扣除后的价格参与评审。</w:t>
      </w:r>
    </w:p>
    <w:p w14:paraId="33074AA4">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7.3</w:t>
      </w:r>
      <w:r>
        <w:rPr>
          <w:rFonts w:ascii="宋体" w:hAnsi="宋体" w:eastAsia="宋体" w:cs="宋体"/>
          <w:b/>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A7698A2">
      <w:pPr>
        <w:spacing w:line="360" w:lineRule="auto"/>
        <w:ind w:firstLine="482" w:firstLineChars="200"/>
        <w:rPr>
          <w:rFonts w:ascii="宋体" w:hAnsi="宋体" w:eastAsia="宋体" w:cs="宋体"/>
          <w:b/>
          <w:color w:val="auto"/>
          <w:sz w:val="24"/>
          <w:szCs w:val="24"/>
          <w:highlight w:val="none"/>
        </w:rPr>
      </w:pPr>
    </w:p>
    <w:p w14:paraId="205021B9">
      <w:pPr>
        <w:spacing w:line="360" w:lineRule="auto"/>
        <w:ind w:firstLine="482" w:firstLineChars="200"/>
        <w:rPr>
          <w:rFonts w:ascii="宋体" w:hAnsi="宋体" w:eastAsia="宋体" w:cs="宋体"/>
          <w:b/>
          <w:color w:val="auto"/>
          <w:sz w:val="24"/>
          <w:szCs w:val="24"/>
          <w:highlight w:val="none"/>
        </w:rPr>
      </w:pPr>
    </w:p>
    <w:p w14:paraId="33074AA5">
      <w:pPr>
        <w:pStyle w:val="2"/>
        <w:numPr>
          <w:ilvl w:val="0"/>
          <w:numId w:val="4"/>
        </w:numPr>
        <w:rPr>
          <w:rFonts w:ascii="宋体" w:hAnsi="宋体" w:eastAsia="宋体" w:cs="宋体"/>
          <w:b/>
          <w:bCs/>
          <w:color w:val="auto"/>
          <w:sz w:val="32"/>
          <w:szCs w:val="32"/>
          <w:highlight w:val="none"/>
        </w:rPr>
      </w:pPr>
      <w:bookmarkStart w:id="53" w:name="_Toc13969"/>
      <w:r>
        <w:rPr>
          <w:rFonts w:hint="eastAsia" w:ascii="宋体" w:hAnsi="宋体" w:eastAsia="宋体" w:cs="宋体"/>
          <w:b/>
          <w:bCs/>
          <w:color w:val="auto"/>
          <w:sz w:val="32"/>
          <w:szCs w:val="32"/>
          <w:highlight w:val="none"/>
        </w:rPr>
        <w:t xml:space="preserve"> 拟签订的合同文本</w:t>
      </w:r>
      <w:bookmarkEnd w:id="53"/>
    </w:p>
    <w:p w14:paraId="33074AA6">
      <w:pPr>
        <w:spacing w:line="360" w:lineRule="auto"/>
        <w:jc w:val="center"/>
        <w:rPr>
          <w:color w:val="auto"/>
          <w:highlight w:val="none"/>
        </w:rPr>
      </w:pPr>
      <w:bookmarkStart w:id="54" w:name="_Toc30691"/>
      <w:r>
        <w:rPr>
          <w:rFonts w:hint="eastAsia" w:ascii="Arial" w:hAnsi="Arial" w:cs="Arial"/>
          <w:b/>
          <w:bCs/>
          <w:color w:val="auto"/>
          <w:sz w:val="32"/>
          <w:szCs w:val="44"/>
          <w:highlight w:val="none"/>
        </w:rPr>
        <w:t xml:space="preserve">第五章 </w:t>
      </w:r>
      <w:r>
        <w:rPr>
          <w:rFonts w:ascii="Arial" w:hAnsi="Arial" w:cs="Arial"/>
          <w:b/>
          <w:bCs/>
          <w:color w:val="auto"/>
          <w:sz w:val="32"/>
          <w:szCs w:val="44"/>
          <w:highlight w:val="none"/>
        </w:rPr>
        <w:t>合同主要条款及格式</w:t>
      </w:r>
      <w:bookmarkEnd w:id="54"/>
      <w:r>
        <w:rPr>
          <w:rFonts w:hint="eastAsia" w:ascii="Arial" w:hAnsi="Arial" w:cs="Arial"/>
          <w:b/>
          <w:bCs/>
          <w:color w:val="auto"/>
          <w:sz w:val="32"/>
          <w:szCs w:val="44"/>
          <w:highlight w:val="none"/>
        </w:rPr>
        <w:t>（货物类）</w:t>
      </w:r>
    </w:p>
    <w:p w14:paraId="33074AA7">
      <w:pPr>
        <w:pStyle w:val="14"/>
        <w:spacing w:before="120" w:after="120" w:line="360" w:lineRule="auto"/>
        <w:ind w:firstLine="480" w:firstLineChars="200"/>
        <w:rPr>
          <w:rFonts w:hAnsi="宋体" w:cs="宋体"/>
          <w:b/>
          <w:bCs/>
          <w:color w:val="auto"/>
          <w:sz w:val="24"/>
          <w:highlight w:val="none"/>
          <w:u w:val="single"/>
        </w:rPr>
      </w:pPr>
      <w:r>
        <w:rPr>
          <w:rFonts w:hint="eastAsia" w:hAnsi="宋体" w:cs="宋体"/>
          <w:b/>
          <w:bCs/>
          <w:color w:val="auto"/>
          <w:sz w:val="24"/>
          <w:highlight w:val="none"/>
        </w:rPr>
        <w:t xml:space="preserve">  </w:t>
      </w:r>
      <w:r>
        <w:rPr>
          <w:rFonts w:hint="eastAsia" w:hAnsi="宋体" w:cs="宋体"/>
          <w:b/>
          <w:bCs/>
          <w:color w:val="auto"/>
          <w:sz w:val="24"/>
          <w:highlight w:val="none"/>
          <w:u w:val="single"/>
        </w:rPr>
        <w:t xml:space="preserve">  南京医科大学                                    项目合同              </w:t>
      </w:r>
    </w:p>
    <w:p w14:paraId="33074AA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甲方：（买方）_________         乙方：（卖方）_________ </w:t>
      </w:r>
    </w:p>
    <w:p w14:paraId="33074AA9">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法定代表人：</w:t>
      </w:r>
      <w:r>
        <w:rPr>
          <w:rFonts w:hint="eastAsia" w:hAnsi="宋体" w:cs="宋体"/>
          <w:color w:val="auto"/>
          <w:highlight w:val="none"/>
          <w:u w:val="single"/>
        </w:rPr>
        <w:t xml:space="preserve">          </w:t>
      </w:r>
      <w:r>
        <w:rPr>
          <w:rFonts w:hint="eastAsia" w:hAnsi="宋体" w:cs="宋体"/>
          <w:color w:val="auto"/>
          <w:highlight w:val="none"/>
        </w:rPr>
        <w:t xml:space="preserve">         法定代表人：</w:t>
      </w:r>
      <w:r>
        <w:rPr>
          <w:rFonts w:hint="eastAsia" w:hAnsi="宋体" w:cs="宋体"/>
          <w:color w:val="auto"/>
          <w:highlight w:val="none"/>
          <w:u w:val="single"/>
        </w:rPr>
        <w:t xml:space="preserve">           </w:t>
      </w:r>
    </w:p>
    <w:p w14:paraId="33074AAA">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地址：</w:t>
      </w:r>
      <w:r>
        <w:rPr>
          <w:rFonts w:hint="eastAsia" w:hAnsi="宋体" w:cs="宋体"/>
          <w:color w:val="auto"/>
          <w:highlight w:val="none"/>
          <w:u w:val="single"/>
        </w:rPr>
        <w:t xml:space="preserve">                 </w:t>
      </w:r>
    </w:p>
    <w:p w14:paraId="33074AAB">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联系人：</w:t>
      </w:r>
      <w:r>
        <w:rPr>
          <w:rFonts w:hint="eastAsia" w:hAnsi="宋体" w:cs="宋体"/>
          <w:color w:val="auto"/>
          <w:highlight w:val="none"/>
          <w:u w:val="single"/>
        </w:rPr>
        <w:t xml:space="preserve">              </w:t>
      </w:r>
      <w:r>
        <w:rPr>
          <w:rFonts w:hint="eastAsia" w:hAnsi="宋体" w:cs="宋体"/>
          <w:color w:val="auto"/>
          <w:highlight w:val="none"/>
        </w:rPr>
        <w:t xml:space="preserve">         联系人：</w:t>
      </w:r>
      <w:r>
        <w:rPr>
          <w:rFonts w:hint="eastAsia" w:hAnsi="宋体" w:cs="宋体"/>
          <w:color w:val="auto"/>
          <w:highlight w:val="none"/>
          <w:u w:val="single"/>
        </w:rPr>
        <w:t xml:space="preserve">                </w:t>
      </w:r>
    </w:p>
    <w:p w14:paraId="33074AAC">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联系方式：</w:t>
      </w:r>
      <w:r>
        <w:rPr>
          <w:rFonts w:hint="eastAsia" w:hAnsi="宋体" w:cs="宋体"/>
          <w:color w:val="auto"/>
          <w:highlight w:val="none"/>
          <w:u w:val="single"/>
        </w:rPr>
        <w:t xml:space="preserve">            </w:t>
      </w:r>
      <w:r>
        <w:rPr>
          <w:rFonts w:hint="eastAsia" w:hAnsi="宋体" w:cs="宋体"/>
          <w:color w:val="auto"/>
          <w:highlight w:val="none"/>
        </w:rPr>
        <w:t xml:space="preserve">         联系方式：</w:t>
      </w:r>
      <w:r>
        <w:rPr>
          <w:rFonts w:hint="eastAsia" w:hAnsi="宋体" w:cs="宋体"/>
          <w:color w:val="auto"/>
          <w:highlight w:val="none"/>
          <w:u w:val="single"/>
        </w:rPr>
        <w:t xml:space="preserve">             </w:t>
      </w:r>
      <w:r>
        <w:rPr>
          <w:rFonts w:hint="eastAsia" w:hAnsi="宋体" w:cs="宋体"/>
          <w:color w:val="auto"/>
          <w:highlight w:val="none"/>
        </w:rPr>
        <w:t xml:space="preserve">  </w:t>
      </w:r>
    </w:p>
    <w:p w14:paraId="33074AAD">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甲、乙双方根据南京医科大学 </w:t>
      </w:r>
      <w:r>
        <w:rPr>
          <w:rFonts w:hint="eastAsia" w:hAnsi="宋体" w:cs="宋体"/>
          <w:color w:val="auto"/>
          <w:highlight w:val="none"/>
          <w:u w:val="single"/>
        </w:rPr>
        <w:t xml:space="preserve">                    项目 </w:t>
      </w:r>
      <w:r>
        <w:rPr>
          <w:rFonts w:hint="eastAsia" w:hAnsi="宋体" w:cs="宋体"/>
          <w:color w:val="auto"/>
          <w:highlight w:val="none"/>
        </w:rPr>
        <w:t>公开招标的结果，本着自愿及平等互利的原则，就甲方向乙方购买本合同约定的货物事宜，签署本合同。</w:t>
      </w:r>
    </w:p>
    <w:p w14:paraId="33074AAE">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一、货物内容、数量及金额</w:t>
      </w:r>
    </w:p>
    <w:tbl>
      <w:tblPr>
        <w:tblStyle w:val="24"/>
        <w:tblW w:w="5000"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262"/>
        <w:gridCol w:w="890"/>
        <w:gridCol w:w="890"/>
        <w:gridCol w:w="890"/>
        <w:gridCol w:w="897"/>
        <w:gridCol w:w="1403"/>
        <w:gridCol w:w="1408"/>
      </w:tblGrid>
      <w:tr w14:paraId="33074A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12" w:space="0"/>
              <w:left w:val="single" w:color="auto" w:sz="12" w:space="0"/>
              <w:bottom w:val="single" w:color="auto" w:sz="4" w:space="0"/>
              <w:right w:val="single" w:color="auto" w:sz="4" w:space="0"/>
            </w:tcBorders>
            <w:shd w:val="pct10" w:color="auto" w:fill="FFFFFF"/>
            <w:vAlign w:val="center"/>
          </w:tcPr>
          <w:p w14:paraId="33074AAF">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编号</w:t>
            </w:r>
          </w:p>
        </w:tc>
        <w:tc>
          <w:tcPr>
            <w:tcW w:w="741" w:type="pct"/>
            <w:tcBorders>
              <w:top w:val="single" w:color="auto" w:sz="12" w:space="0"/>
              <w:left w:val="single" w:color="auto" w:sz="4" w:space="0"/>
              <w:bottom w:val="single" w:color="auto" w:sz="4" w:space="0"/>
              <w:right w:val="single" w:color="auto" w:sz="4" w:space="0"/>
            </w:tcBorders>
            <w:shd w:val="pct10" w:color="auto" w:fill="FFFFFF"/>
            <w:vAlign w:val="center"/>
          </w:tcPr>
          <w:p w14:paraId="33074AB0">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货物名称</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33074AB1">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品牌</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33074AB2">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型号</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33074AB3">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制造商和国别</w:t>
            </w:r>
          </w:p>
        </w:tc>
        <w:tc>
          <w:tcPr>
            <w:tcW w:w="526" w:type="pct"/>
            <w:tcBorders>
              <w:top w:val="single" w:color="auto" w:sz="12" w:space="0"/>
              <w:left w:val="single" w:color="auto" w:sz="4" w:space="0"/>
              <w:bottom w:val="single" w:color="auto" w:sz="4" w:space="0"/>
              <w:right w:val="single" w:color="auto" w:sz="4" w:space="0"/>
            </w:tcBorders>
            <w:shd w:val="pct10" w:color="auto" w:fill="FFFFFF"/>
            <w:vAlign w:val="center"/>
          </w:tcPr>
          <w:p w14:paraId="33074AB4">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823" w:type="pct"/>
            <w:tcBorders>
              <w:top w:val="single" w:color="auto" w:sz="12" w:space="0"/>
              <w:left w:val="single" w:color="auto" w:sz="4" w:space="0"/>
              <w:bottom w:val="single" w:color="auto" w:sz="4" w:space="0"/>
              <w:right w:val="single" w:color="auto" w:sz="4" w:space="0"/>
            </w:tcBorders>
            <w:shd w:val="pct10" w:color="auto" w:fill="FFFFFF"/>
            <w:vAlign w:val="center"/>
          </w:tcPr>
          <w:p w14:paraId="33074AB5">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单价（元）</w:t>
            </w:r>
          </w:p>
        </w:tc>
        <w:tc>
          <w:tcPr>
            <w:tcW w:w="823" w:type="pct"/>
            <w:tcBorders>
              <w:top w:val="single" w:color="auto" w:sz="12" w:space="0"/>
              <w:left w:val="single" w:color="auto" w:sz="4" w:space="0"/>
              <w:bottom w:val="single" w:color="auto" w:sz="4" w:space="0"/>
              <w:right w:val="single" w:color="auto" w:sz="12" w:space="0"/>
            </w:tcBorders>
            <w:shd w:val="pct10" w:color="auto" w:fill="FFFFFF"/>
            <w:vAlign w:val="center"/>
          </w:tcPr>
          <w:p w14:paraId="33074AB6">
            <w:pPr>
              <w:rPr>
                <w:rFonts w:ascii="宋体" w:hAnsi="宋体" w:cs="宋体"/>
                <w:b/>
                <w:color w:val="auto"/>
                <w:szCs w:val="21"/>
                <w:highlight w:val="none"/>
              </w:rPr>
            </w:pPr>
            <w:r>
              <w:rPr>
                <w:rFonts w:hint="eastAsia" w:ascii="宋体" w:hAnsi="宋体" w:cs="宋体"/>
                <w:b/>
                <w:color w:val="auto"/>
                <w:szCs w:val="21"/>
                <w:highlight w:val="none"/>
              </w:rPr>
              <w:t>总价（元）</w:t>
            </w:r>
          </w:p>
        </w:tc>
      </w:tr>
      <w:tr w14:paraId="33074A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33074AB8">
            <w:pPr>
              <w:spacing w:line="600" w:lineRule="atLeast"/>
              <w:jc w:val="center"/>
              <w:rPr>
                <w:rFonts w:ascii="宋体" w:hAnsi="宋体" w:cs="宋体"/>
                <w:b/>
                <w:color w:val="auto"/>
                <w:szCs w:val="21"/>
                <w:highlight w:val="none"/>
              </w:rPr>
            </w:pPr>
            <w:r>
              <w:rPr>
                <w:rFonts w:hint="eastAsia" w:ascii="宋体" w:hAnsi="宋体" w:cs="宋体"/>
                <w:b/>
                <w:color w:val="auto"/>
                <w:szCs w:val="21"/>
                <w:highlight w:val="none"/>
              </w:rPr>
              <w:t>1</w:t>
            </w:r>
          </w:p>
        </w:tc>
        <w:tc>
          <w:tcPr>
            <w:tcW w:w="741" w:type="pct"/>
            <w:tcBorders>
              <w:top w:val="single" w:color="auto" w:sz="4" w:space="0"/>
              <w:left w:val="single" w:color="auto" w:sz="4" w:space="0"/>
              <w:bottom w:val="single" w:color="auto" w:sz="4" w:space="0"/>
              <w:right w:val="single" w:color="auto" w:sz="4" w:space="0"/>
            </w:tcBorders>
            <w:vAlign w:val="center"/>
          </w:tcPr>
          <w:p w14:paraId="33074AB9">
            <w:pPr>
              <w:spacing w:line="600" w:lineRule="atLeast"/>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33074ABA">
            <w:pPr>
              <w:spacing w:line="360" w:lineRule="auto"/>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33074ABB">
            <w:pPr>
              <w:spacing w:line="600" w:lineRule="atLeast"/>
              <w:ind w:firstLine="108" w:firstLineChars="49"/>
              <w:jc w:val="center"/>
              <w:rPr>
                <w:rFonts w:ascii="宋体" w:hAnsi="宋体" w:cs="宋体"/>
                <w:b/>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33074ABC">
            <w:pPr>
              <w:spacing w:line="240" w:lineRule="atLeast"/>
              <w:jc w:val="center"/>
              <w:rPr>
                <w:rFonts w:ascii="宋体" w:hAnsi="宋体" w:cs="宋体"/>
                <w:b/>
                <w:color w:val="auto"/>
                <w:szCs w:val="21"/>
                <w:highlight w:val="none"/>
              </w:rPr>
            </w:pPr>
          </w:p>
        </w:tc>
        <w:tc>
          <w:tcPr>
            <w:tcW w:w="526" w:type="pct"/>
            <w:tcBorders>
              <w:top w:val="single" w:color="auto" w:sz="4" w:space="0"/>
              <w:left w:val="single" w:color="auto" w:sz="4" w:space="0"/>
              <w:bottom w:val="single" w:color="auto" w:sz="4" w:space="0"/>
              <w:right w:val="single" w:color="auto" w:sz="4" w:space="0"/>
            </w:tcBorders>
            <w:vAlign w:val="center"/>
          </w:tcPr>
          <w:p w14:paraId="33074ABD">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4" w:space="0"/>
            </w:tcBorders>
            <w:vAlign w:val="center"/>
          </w:tcPr>
          <w:p w14:paraId="33074ABE">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12" w:space="0"/>
            </w:tcBorders>
            <w:vAlign w:val="center"/>
          </w:tcPr>
          <w:p w14:paraId="33074ABF">
            <w:pPr>
              <w:spacing w:line="360" w:lineRule="auto"/>
              <w:jc w:val="center"/>
              <w:rPr>
                <w:rFonts w:ascii="宋体" w:hAnsi="宋体" w:cs="宋体"/>
                <w:color w:val="auto"/>
                <w:szCs w:val="21"/>
                <w:highlight w:val="none"/>
              </w:rPr>
            </w:pPr>
          </w:p>
        </w:tc>
      </w:tr>
      <w:tr w14:paraId="33074AC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33074AC1">
            <w:pPr>
              <w:spacing w:line="600" w:lineRule="atLeast"/>
              <w:jc w:val="center"/>
              <w:rPr>
                <w:rFonts w:ascii="宋体" w:hAnsi="宋体" w:cs="宋体"/>
                <w:b/>
                <w:color w:val="auto"/>
                <w:szCs w:val="21"/>
                <w:highlight w:val="none"/>
              </w:rPr>
            </w:pPr>
            <w:r>
              <w:rPr>
                <w:rFonts w:hint="eastAsia" w:ascii="宋体" w:hAnsi="宋体" w:cs="宋体"/>
                <w:b/>
                <w:color w:val="auto"/>
                <w:szCs w:val="21"/>
                <w:highlight w:val="none"/>
              </w:rPr>
              <w:t>2</w:t>
            </w:r>
          </w:p>
        </w:tc>
        <w:tc>
          <w:tcPr>
            <w:tcW w:w="741" w:type="pct"/>
            <w:tcBorders>
              <w:top w:val="single" w:color="auto" w:sz="4" w:space="0"/>
              <w:left w:val="single" w:color="auto" w:sz="4" w:space="0"/>
              <w:bottom w:val="single" w:color="auto" w:sz="4" w:space="0"/>
              <w:right w:val="single" w:color="auto" w:sz="4" w:space="0"/>
            </w:tcBorders>
            <w:vAlign w:val="center"/>
          </w:tcPr>
          <w:p w14:paraId="33074AC2">
            <w:pPr>
              <w:spacing w:line="600" w:lineRule="atLeast"/>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33074AC3">
            <w:pPr>
              <w:spacing w:line="360" w:lineRule="auto"/>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33074AC4">
            <w:pPr>
              <w:spacing w:line="600" w:lineRule="atLeast"/>
              <w:ind w:firstLine="108" w:firstLineChars="49"/>
              <w:jc w:val="center"/>
              <w:rPr>
                <w:rFonts w:ascii="宋体" w:hAnsi="宋体" w:cs="宋体"/>
                <w:b/>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33074AC5">
            <w:pPr>
              <w:spacing w:line="240" w:lineRule="atLeast"/>
              <w:jc w:val="center"/>
              <w:rPr>
                <w:rFonts w:ascii="宋体" w:hAnsi="宋体" w:cs="宋体"/>
                <w:b/>
                <w:color w:val="auto"/>
                <w:szCs w:val="21"/>
                <w:highlight w:val="none"/>
              </w:rPr>
            </w:pPr>
          </w:p>
        </w:tc>
        <w:tc>
          <w:tcPr>
            <w:tcW w:w="526" w:type="pct"/>
            <w:tcBorders>
              <w:top w:val="single" w:color="auto" w:sz="4" w:space="0"/>
              <w:left w:val="single" w:color="auto" w:sz="4" w:space="0"/>
              <w:bottom w:val="single" w:color="auto" w:sz="4" w:space="0"/>
              <w:right w:val="single" w:color="auto" w:sz="4" w:space="0"/>
            </w:tcBorders>
            <w:vAlign w:val="center"/>
          </w:tcPr>
          <w:p w14:paraId="33074AC6">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4" w:space="0"/>
            </w:tcBorders>
            <w:vAlign w:val="center"/>
          </w:tcPr>
          <w:p w14:paraId="33074AC7">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12" w:space="0"/>
            </w:tcBorders>
            <w:vAlign w:val="center"/>
          </w:tcPr>
          <w:p w14:paraId="33074AC8">
            <w:pPr>
              <w:spacing w:line="360" w:lineRule="auto"/>
              <w:jc w:val="center"/>
              <w:rPr>
                <w:rFonts w:ascii="宋体" w:hAnsi="宋体" w:cs="宋体"/>
                <w:color w:val="auto"/>
                <w:szCs w:val="21"/>
                <w:highlight w:val="none"/>
              </w:rPr>
            </w:pPr>
          </w:p>
        </w:tc>
      </w:tr>
      <w:tr w14:paraId="33074AC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tcBorders>
              <w:top w:val="single" w:color="auto" w:sz="4" w:space="0"/>
              <w:left w:val="single" w:color="auto" w:sz="12" w:space="0"/>
              <w:bottom w:val="single" w:color="auto" w:sz="4" w:space="0"/>
              <w:right w:val="single" w:color="auto" w:sz="12" w:space="0"/>
            </w:tcBorders>
            <w:vAlign w:val="center"/>
          </w:tcPr>
          <w:p w14:paraId="33074ACA">
            <w:pPr>
              <w:spacing w:line="300" w:lineRule="exact"/>
              <w:rPr>
                <w:rFonts w:ascii="宋体" w:hAnsi="宋体" w:cs="宋体"/>
                <w:color w:val="auto"/>
                <w:szCs w:val="21"/>
                <w:highlight w:val="none"/>
              </w:rPr>
            </w:pPr>
            <w:r>
              <w:rPr>
                <w:rFonts w:hint="eastAsia" w:ascii="宋体" w:hAnsi="宋体" w:cs="宋体"/>
                <w:b/>
                <w:color w:val="auto"/>
                <w:szCs w:val="21"/>
                <w:highlight w:val="none"/>
              </w:rPr>
              <w:t xml:space="preserve">总价（人民币大写）：                         </w:t>
            </w:r>
            <w:r>
              <w:rPr>
                <w:rFonts w:hint="eastAsia" w:ascii="宋体" w:hAnsi="宋体" w:cs="宋体"/>
                <w:color w:val="auto"/>
                <w:szCs w:val="21"/>
                <w:highlight w:val="none"/>
              </w:rPr>
              <w:t>合计（小写）：</w:t>
            </w:r>
          </w:p>
          <w:p w14:paraId="33074ACB">
            <w:pPr>
              <w:spacing w:line="300" w:lineRule="exact"/>
              <w:jc w:val="center"/>
              <w:rPr>
                <w:rFonts w:ascii="宋体" w:hAnsi="宋体" w:cs="宋体"/>
                <w:color w:val="auto"/>
                <w:szCs w:val="21"/>
                <w:highlight w:val="none"/>
              </w:rPr>
            </w:pPr>
          </w:p>
          <w:p w14:paraId="33074ACC">
            <w:pPr>
              <w:spacing w:line="300" w:lineRule="exact"/>
              <w:jc w:val="center"/>
              <w:rPr>
                <w:rFonts w:ascii="宋体" w:hAnsi="宋体" w:cs="宋体"/>
                <w:color w:val="auto"/>
                <w:szCs w:val="21"/>
                <w:highlight w:val="none"/>
              </w:rPr>
            </w:pPr>
          </w:p>
        </w:tc>
      </w:tr>
      <w:tr w14:paraId="33074AD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12" w:space="0"/>
              <w:bottom w:val="single" w:color="auto" w:sz="12" w:space="0"/>
              <w:right w:val="single" w:color="auto" w:sz="12" w:space="0"/>
            </w:tcBorders>
            <w:vAlign w:val="center"/>
          </w:tcPr>
          <w:p w14:paraId="33074ACE">
            <w:pPr>
              <w:spacing w:line="300" w:lineRule="exact"/>
              <w:rPr>
                <w:rFonts w:ascii="宋体" w:hAnsi="宋体" w:cs="宋体"/>
                <w:color w:val="auto"/>
                <w:szCs w:val="21"/>
                <w:highlight w:val="none"/>
              </w:rPr>
            </w:pPr>
            <w:r>
              <w:rPr>
                <w:rFonts w:hint="eastAsia" w:ascii="宋体" w:hAnsi="宋体" w:cs="宋体"/>
                <w:color w:val="auto"/>
                <w:szCs w:val="21"/>
                <w:highlight w:val="none"/>
              </w:rPr>
              <w:t>说明：</w:t>
            </w:r>
          </w:p>
          <w:p w14:paraId="33074ACF">
            <w:pPr>
              <w:spacing w:line="300" w:lineRule="exact"/>
              <w:rPr>
                <w:rFonts w:ascii="宋体" w:hAnsi="宋体" w:cs="宋体"/>
                <w:color w:val="auto"/>
                <w:szCs w:val="21"/>
                <w:highlight w:val="none"/>
              </w:rPr>
            </w:pPr>
            <w:r>
              <w:rPr>
                <w:rFonts w:hint="eastAsia" w:ascii="宋体" w:hAnsi="宋体" w:cs="宋体"/>
                <w:color w:val="auto"/>
                <w:szCs w:val="21"/>
                <w:highlight w:val="none"/>
              </w:rPr>
              <w:t>1、本合同总价款涵盖货物从设计、制造、包装、仓储、运输、安装直至验收合格之前的全部含税费用，以及保修期内备品备件相关的所有含税费用。乙方依约应提供的伴随服务及售后服务所涉费用，亦包含在本合同总价款内 。</w:t>
            </w:r>
          </w:p>
          <w:p w14:paraId="33074AD0">
            <w:pPr>
              <w:spacing w:line="300" w:lineRule="exact"/>
              <w:rPr>
                <w:rFonts w:ascii="宋体" w:hAnsi="宋体" w:cs="宋体"/>
                <w:color w:val="auto"/>
                <w:szCs w:val="21"/>
                <w:highlight w:val="none"/>
              </w:rPr>
            </w:pPr>
            <w:r>
              <w:rPr>
                <w:rFonts w:hint="eastAsia" w:ascii="宋体" w:hAnsi="宋体" w:cs="宋体"/>
                <w:color w:val="auto"/>
                <w:szCs w:val="21"/>
                <w:highlight w:val="none"/>
              </w:rPr>
              <w:t>此外，</w:t>
            </w:r>
          </w:p>
          <w:p w14:paraId="33074AD1">
            <w:pPr>
              <w:spacing w:line="300" w:lineRule="exact"/>
              <w:rPr>
                <w:rFonts w:ascii="宋体" w:hAnsi="宋体" w:cs="宋体"/>
                <w:color w:val="auto"/>
                <w:szCs w:val="21"/>
                <w:highlight w:val="none"/>
              </w:rPr>
            </w:pPr>
            <w:r>
              <w:rPr>
                <w:rFonts w:hint="eastAsia" w:ascii="宋体" w:hAnsi="宋体" w:cs="宋体"/>
                <w:color w:val="auto"/>
                <w:szCs w:val="21"/>
                <w:highlight w:val="none"/>
              </w:rPr>
              <w:t>（1）若合同在履行过程中因国家政策调整，不在进口货物免税清单内，加征的关税亦包含在本合同总价款中。</w:t>
            </w:r>
          </w:p>
          <w:p w14:paraId="33074AD2">
            <w:pPr>
              <w:spacing w:line="300" w:lineRule="exact"/>
              <w:rPr>
                <w:rFonts w:ascii="宋体" w:hAnsi="宋体" w:cs="宋体"/>
                <w:color w:val="auto"/>
                <w:szCs w:val="21"/>
                <w:highlight w:val="none"/>
              </w:rPr>
            </w:pPr>
            <w:r>
              <w:rPr>
                <w:rFonts w:hint="eastAsia" w:ascii="宋体" w:hAnsi="宋体" w:cs="宋体"/>
                <w:color w:val="auto"/>
                <w:szCs w:val="21"/>
                <w:highlight w:val="none"/>
              </w:rPr>
              <w:t>（2）进口免税货物且在国务院关税税则委员会公告的加征关税商品清单范围内，加征的关税亦包含在本合同总价款中。</w:t>
            </w:r>
          </w:p>
          <w:p w14:paraId="33074AD3">
            <w:pPr>
              <w:spacing w:line="300" w:lineRule="exact"/>
              <w:rPr>
                <w:rFonts w:ascii="宋体" w:hAnsi="宋体" w:cs="宋体"/>
                <w:color w:val="auto"/>
                <w:szCs w:val="21"/>
                <w:highlight w:val="none"/>
              </w:rPr>
            </w:pPr>
            <w:r>
              <w:rPr>
                <w:rFonts w:hint="eastAsia" w:ascii="宋体" w:hAnsi="宋体" w:cs="宋体"/>
                <w:color w:val="auto"/>
                <w:szCs w:val="21"/>
                <w:highlight w:val="none"/>
              </w:rPr>
              <w:t>以上两种情况，甲方按照采购合同约定的付款方式支付给委托的外贸公司后，甲方即完成向乙方付款义务，乙方不得再向甲方追索本项目款项。</w:t>
            </w:r>
          </w:p>
          <w:p w14:paraId="33074AD4">
            <w:pPr>
              <w:spacing w:line="300" w:lineRule="exact"/>
              <w:rPr>
                <w:rFonts w:ascii="宋体" w:hAnsi="宋体" w:cs="宋体"/>
                <w:color w:val="auto"/>
                <w:szCs w:val="21"/>
                <w:highlight w:val="none"/>
              </w:rPr>
            </w:pPr>
            <w:r>
              <w:rPr>
                <w:rFonts w:hint="eastAsia" w:ascii="宋体" w:hAnsi="宋体" w:cs="宋体"/>
                <w:color w:val="auto"/>
                <w:szCs w:val="21"/>
                <w:highlight w:val="none"/>
              </w:rPr>
              <w:t>2、采购人已通过招标方式确定了为其办理进口手续的外贸代理服务供应商。若该项目下的进口设备需要办理相关进口手续，则须由采购人指定的外贸代理服务供应商办理，否则由此产生的一切责任及后果均由中标供应商自行承担。</w:t>
            </w:r>
          </w:p>
          <w:p w14:paraId="33074AD5">
            <w:pPr>
              <w:spacing w:line="300" w:lineRule="exact"/>
              <w:rPr>
                <w:rFonts w:ascii="宋体" w:hAnsi="宋体" w:cs="宋体"/>
                <w:color w:val="auto"/>
                <w:szCs w:val="21"/>
                <w:highlight w:val="none"/>
              </w:rPr>
            </w:pPr>
            <w:r>
              <w:rPr>
                <w:rFonts w:hint="eastAsia" w:ascii="宋体" w:hAnsi="宋体" w:cs="宋体"/>
                <w:color w:val="auto"/>
                <w:szCs w:val="21"/>
                <w:highlight w:val="none"/>
              </w:rPr>
              <w:t>该外贸代理进口包干费用包含：银行费用、报关费用等进口相关费用，但是货款、税款除外。具体收费标准根据采购人与指定的外贸代理服务供应商签署的《南京医科大学进口产品委托代理服务协议》中约定的外贸代理费率执行。</w:t>
            </w:r>
          </w:p>
        </w:tc>
      </w:tr>
    </w:tbl>
    <w:p w14:paraId="33074AD7">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二、结算方式</w:t>
      </w:r>
    </w:p>
    <w:p w14:paraId="7E308941">
      <w:pPr>
        <w:pStyle w:val="14"/>
        <w:spacing w:before="120" w:after="120" w:line="330" w:lineRule="atLeast"/>
        <w:ind w:firstLine="420" w:firstLineChars="200"/>
        <w:rPr>
          <w:rFonts w:hAnsi="宋体" w:eastAsia="宋体"/>
          <w:color w:val="auto"/>
          <w:sz w:val="24"/>
          <w:szCs w:val="28"/>
          <w:highlight w:val="none"/>
        </w:rPr>
      </w:pPr>
      <w:r>
        <w:rPr>
          <w:rFonts w:hint="eastAsia" w:ascii="宋体" w:hAnsi="宋体" w:cs="宋体"/>
          <w:color w:val="auto"/>
          <w:szCs w:val="21"/>
          <w:highlight w:val="none"/>
        </w:rPr>
        <w:t>2.1结算方式：</w:t>
      </w:r>
      <w:r>
        <w:rPr>
          <w:rFonts w:hint="eastAsia" w:hAnsi="宋体" w:eastAsia="宋体"/>
          <w:color w:val="auto"/>
          <w:sz w:val="24"/>
          <w:szCs w:val="28"/>
          <w:highlight w:val="none"/>
        </w:rPr>
        <w:t>【</w:t>
      </w:r>
      <w:r>
        <w:rPr>
          <w:rFonts w:hAnsi="宋体" w:eastAsia="宋体"/>
          <w:color w:val="auto"/>
          <w:sz w:val="24"/>
          <w:szCs w:val="28"/>
          <w:highlight w:val="none"/>
        </w:rPr>
        <w:t>国产设备</w:t>
      </w:r>
      <w:r>
        <w:rPr>
          <w:rFonts w:hint="eastAsia" w:hAnsi="宋体" w:eastAsia="宋体"/>
          <w:color w:val="auto"/>
          <w:sz w:val="24"/>
          <w:szCs w:val="28"/>
          <w:highlight w:val="none"/>
        </w:rPr>
        <w:t>及进口设备（非免税）】：货物交付、安装、调试且通过验收后一周内（遇寒暑假和法定节假日顺延）甲方支付合同总金额的100%，付款之前需收到乙方开具的合法有效的相应金额发票。</w:t>
      </w:r>
    </w:p>
    <w:p w14:paraId="37614607">
      <w:pPr>
        <w:spacing w:line="360" w:lineRule="auto"/>
        <w:ind w:firstLine="440" w:firstLineChars="200"/>
        <w:rPr>
          <w:rFonts w:ascii="宋体" w:hAnsi="宋体" w:cs="宋体"/>
          <w:color w:val="auto"/>
          <w:szCs w:val="21"/>
          <w:highlight w:val="none"/>
          <w:u w:val="single"/>
        </w:rPr>
      </w:pPr>
    </w:p>
    <w:p w14:paraId="33074ADA">
      <w:pPr>
        <w:pStyle w:val="14"/>
        <w:spacing w:line="360" w:lineRule="auto"/>
        <w:ind w:firstLine="420" w:firstLineChars="200"/>
        <w:rPr>
          <w:rFonts w:hAnsi="宋体" w:cs="宋体"/>
          <w:color w:val="auto"/>
          <w:highlight w:val="none"/>
        </w:rPr>
      </w:pPr>
      <w:r>
        <w:rPr>
          <w:rFonts w:hint="eastAsia" w:hAnsi="宋体" w:cs="宋体"/>
          <w:color w:val="auto"/>
          <w:highlight w:val="none"/>
        </w:rPr>
        <w:t>2.2当采购数量与实际使用数量不一致时，乙方应根据实际使用量供货，合同的最终结算金额按实际使用量乘以本合同约定的成交单价进行计算。</w:t>
      </w:r>
    </w:p>
    <w:p w14:paraId="33074ADB">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2.3乙方指定账户信息：</w:t>
      </w:r>
    </w:p>
    <w:p w14:paraId="33074ADC">
      <w:pPr>
        <w:pStyle w:val="14"/>
        <w:spacing w:before="120" w:after="120" w:line="360" w:lineRule="auto"/>
        <w:ind w:left="440" w:leftChars="200"/>
        <w:jc w:val="left"/>
        <w:rPr>
          <w:rFonts w:hAnsi="宋体" w:cs="宋体"/>
          <w:color w:val="auto"/>
          <w:highlight w:val="none"/>
        </w:rPr>
      </w:pPr>
      <w:r>
        <w:rPr>
          <w:rFonts w:hint="eastAsia" w:hAnsi="宋体" w:cs="宋体"/>
          <w:color w:val="auto"/>
          <w:highlight w:val="none"/>
        </w:rPr>
        <w:t>开户行：</w:t>
      </w:r>
    </w:p>
    <w:p w14:paraId="33074ADD">
      <w:pPr>
        <w:pStyle w:val="14"/>
        <w:spacing w:before="120" w:after="120" w:line="360" w:lineRule="auto"/>
        <w:ind w:left="440" w:leftChars="200"/>
        <w:jc w:val="left"/>
        <w:rPr>
          <w:rFonts w:hAnsi="宋体" w:cs="宋体"/>
          <w:color w:val="auto"/>
          <w:highlight w:val="none"/>
        </w:rPr>
      </w:pPr>
      <w:r>
        <w:rPr>
          <w:rFonts w:hint="eastAsia" w:hAnsi="宋体" w:cs="宋体"/>
          <w:color w:val="auto"/>
          <w:highlight w:val="none"/>
        </w:rPr>
        <w:t>户名：</w:t>
      </w:r>
    </w:p>
    <w:p w14:paraId="33074ADE">
      <w:pPr>
        <w:pStyle w:val="14"/>
        <w:spacing w:before="120" w:after="120" w:line="360" w:lineRule="auto"/>
        <w:ind w:left="440" w:leftChars="200"/>
        <w:jc w:val="left"/>
        <w:rPr>
          <w:rFonts w:hAnsi="宋体" w:cs="宋体"/>
          <w:color w:val="auto"/>
          <w:highlight w:val="none"/>
        </w:rPr>
      </w:pPr>
      <w:r>
        <w:rPr>
          <w:rFonts w:hint="eastAsia" w:hAnsi="宋体" w:cs="宋体"/>
          <w:color w:val="auto"/>
          <w:highlight w:val="none"/>
        </w:rPr>
        <w:t>账号：</w:t>
      </w:r>
    </w:p>
    <w:p w14:paraId="33074ADF">
      <w:pPr>
        <w:pStyle w:val="14"/>
        <w:spacing w:before="120" w:after="120" w:line="360" w:lineRule="auto"/>
        <w:ind w:left="440" w:leftChars="200"/>
        <w:jc w:val="left"/>
        <w:rPr>
          <w:rFonts w:hAnsi="宋体" w:cs="宋体"/>
          <w:color w:val="auto"/>
          <w:highlight w:val="none"/>
          <w:u w:val="single"/>
        </w:rPr>
      </w:pPr>
      <w:r>
        <w:rPr>
          <w:rFonts w:hint="eastAsia" w:hAnsi="宋体" w:cs="宋体"/>
          <w:color w:val="auto"/>
          <w:highlight w:val="none"/>
        </w:rPr>
        <w:t>上述账户信息，如有变更，乙方应在变更前3日内书面通知甲方。否则，由此产生的后果由乙方承担。</w:t>
      </w:r>
    </w:p>
    <w:p w14:paraId="33074AE0">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三、交付方式、时间及地点</w:t>
      </w:r>
    </w:p>
    <w:p w14:paraId="33074AE1">
      <w:pPr>
        <w:pStyle w:val="14"/>
        <w:snapToGrid w:val="0"/>
        <w:spacing w:before="120" w:after="120" w:line="360" w:lineRule="auto"/>
        <w:ind w:firstLine="420" w:firstLineChars="200"/>
        <w:jc w:val="left"/>
        <w:rPr>
          <w:rFonts w:hAnsi="宋体" w:cs="宋体"/>
          <w:color w:val="auto"/>
          <w:highlight w:val="none"/>
          <w:u w:val="single"/>
        </w:rPr>
      </w:pPr>
      <w:r>
        <w:rPr>
          <w:rFonts w:hint="eastAsia" w:hAnsi="宋体" w:cs="宋体"/>
          <w:color w:val="auto"/>
          <w:highlight w:val="none"/>
        </w:rPr>
        <w:t>3.1交付方式：</w:t>
      </w:r>
      <w:r>
        <w:rPr>
          <w:rFonts w:hint="eastAsia" w:hAnsi="宋体" w:cs="宋体"/>
          <w:color w:val="auto"/>
          <w:highlight w:val="none"/>
          <w:u w:val="single"/>
        </w:rPr>
        <w:t xml:space="preserve">乙方按甲方书面通知之   日，运送至甲方指定地点，经甲方指定收货人书面签收，安装、调试结束，验收合格，交付采购人使用。 </w:t>
      </w:r>
    </w:p>
    <w:p w14:paraId="33074AE2">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3.1交付时间：___________________</w:t>
      </w:r>
    </w:p>
    <w:p w14:paraId="33074AE3">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3.2交付地点：___________________</w:t>
      </w:r>
    </w:p>
    <w:p w14:paraId="33074AE4">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四、货物包装、发运及运输</w:t>
      </w:r>
    </w:p>
    <w:p w14:paraId="33074AE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4.1 乙方应在货物发运前根据运输距离、防潮、防震、防锈和防破损装卸等要求进行相应的包装，以保证货物安全运达甲方指定地点。</w:t>
      </w:r>
    </w:p>
    <w:p w14:paraId="33074AE6">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4.2 使用说明书、质量检验证明书、随配附件和工具以及清单一并附于货物内。</w:t>
      </w:r>
    </w:p>
    <w:p w14:paraId="33074AE7">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4.3 乙方在货物发运手续办理完毕后24小时内或货到甲方48小时前通知甲方，以准备接货。</w:t>
      </w:r>
    </w:p>
    <w:p w14:paraId="33074AE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4.4 货物在交付甲方前发生的风险均由乙方负责。</w:t>
      </w:r>
    </w:p>
    <w:p w14:paraId="33074AE9">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五、</w:t>
      </w:r>
      <w:r>
        <w:rPr>
          <w:rFonts w:hint="eastAsia" w:hAnsi="宋体" w:cs="宋体"/>
          <w:b/>
          <w:color w:val="auto"/>
          <w:highlight w:val="none"/>
        </w:rPr>
        <w:t>质量保证及售后服务</w:t>
      </w:r>
    </w:p>
    <w:p w14:paraId="33074AEA">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5.1 乙方应按招标文件规定的货物性能、技术要求、质量标准向甲方提供全新货物，乙方所供货物应符合国家相关的法律规定、技术规格和质量标准；如是进口商品，则需是获得国家相关部门颁布安全许可证的出厂原装合格产品。</w:t>
      </w:r>
    </w:p>
    <w:p w14:paraId="33074AEB">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5.2 乙方提供的货物在质保期内因货物本身的质量问题发生故障，乙方应负责免费更换，并承担所发生的全部费用。更换后仍达不到技术要求的，乙方应退还甲方支付的合同款，同时应承担该货物的直接费用（运输、保险、检验、货款利息及银行手续费等）。</w:t>
      </w:r>
    </w:p>
    <w:p w14:paraId="33074AEC">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5.3上述货物的质保期</w:t>
      </w:r>
      <w:r>
        <w:rPr>
          <w:rFonts w:hint="eastAsia" w:hAnsi="宋体" w:cs="宋体"/>
          <w:color w:val="auto"/>
          <w:highlight w:val="none"/>
          <w:u w:val="single"/>
        </w:rPr>
        <w:t xml:space="preserve">      </w:t>
      </w:r>
      <w:r>
        <w:rPr>
          <w:rFonts w:hint="eastAsia" w:hAnsi="宋体" w:cs="宋体"/>
          <w:color w:val="auto"/>
          <w:highlight w:val="none"/>
        </w:rPr>
        <w:t>年。（自交货验收合格次日起计算），因人为因素出现的故障不在免费保修范围内。</w:t>
      </w:r>
    </w:p>
    <w:p w14:paraId="33074AED">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5.4在质保期内，如在使用过程中发生质量问题，乙方在接到甲方通知后在_________小时内响应，并在</w:t>
      </w:r>
      <w:r>
        <w:rPr>
          <w:rFonts w:hint="eastAsia" w:hAnsi="宋体" w:cs="宋体"/>
          <w:color w:val="auto"/>
          <w:highlight w:val="none"/>
          <w:u w:val="single"/>
        </w:rPr>
        <w:t xml:space="preserve">      </w:t>
      </w:r>
      <w:r>
        <w:rPr>
          <w:rFonts w:hint="eastAsia" w:hAnsi="宋体" w:cs="宋体"/>
          <w:color w:val="auto"/>
          <w:highlight w:val="none"/>
        </w:rPr>
        <w:t>小时内赶到甲方现场，免费予以排除故障、修复或者更换零部件。如未及时维修的，甲方委托他人维修，维修费从合同尾款中扣除或由乙方承担。</w:t>
      </w:r>
    </w:p>
    <w:p w14:paraId="33074AEE">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5.5 在质保期内，乙方应对货物出现的质量及安全问题负责处理解决并承担一切费用。</w:t>
      </w:r>
    </w:p>
    <w:p w14:paraId="33074AEF">
      <w:pPr>
        <w:pStyle w:val="14"/>
        <w:spacing w:before="120" w:after="120" w:line="360" w:lineRule="auto"/>
        <w:ind w:firstLine="315" w:firstLineChars="150"/>
        <w:rPr>
          <w:rFonts w:hAnsi="宋体" w:cs="宋体"/>
          <w:color w:val="auto"/>
          <w:highlight w:val="none"/>
        </w:rPr>
      </w:pPr>
      <w:r>
        <w:rPr>
          <w:rFonts w:hint="eastAsia" w:hAnsi="宋体" w:cs="宋体"/>
          <w:color w:val="auto"/>
          <w:highlight w:val="none"/>
        </w:rPr>
        <w:t>5.6 质保期满后，如设备出现故障，乙方在接到甲方通知后，仍应在上述时间内响应，派人赶到甲方现场，免费帮助甲方排除故障、修复或者更换零部件；若需购买零部件，乙方可酌情收取成本费，但需免收上门费、人工费等费用。</w:t>
      </w:r>
    </w:p>
    <w:p w14:paraId="33074AF0">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六、调试和验收</w:t>
      </w:r>
    </w:p>
    <w:p w14:paraId="33074AF1">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6.1 乙方交货前应对货物全面检查并对验收文件进行整理，列出清单提交甲方，检验的结果亦应随货物交甲方。</w:t>
      </w:r>
    </w:p>
    <w:p w14:paraId="33074AF2">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6.2 甲方对乙方提供的货物在使用前进行调试时，乙方需负责安装并培训甲方的使用操作人员，并协助甲方一起调试，直到符合技术要求。</w:t>
      </w:r>
    </w:p>
    <w:p w14:paraId="33074AF3">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6.3 在安装、调试和验收过程中，如发现有漏件、缺件，乙方应无条件、无偿补齐，所发生的一切费用，视为已包含在投标时的投标报价中，且并不因此而影响交付甲方使用的时间。</w:t>
      </w:r>
    </w:p>
    <w:p w14:paraId="33074AF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6.4 甲方对乙方提交的货物依据招标文件上的技术规格要求和国家有关质量标准进行现场初步验收。外观、说明书符合招标文件技术要求的，给予签收，初步验收不合格的不予签收。货到后，甲方需在10个工作日内完成初步验收。</w:t>
      </w:r>
    </w:p>
    <w:p w14:paraId="33074AF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6.5 设备、材料安装、调试结束，甲、乙双方派员共同验收，达到验收标准则验收合格。验收完毕后出具验收结果报告并经双方签字确认；验收相关费用由乙方承担。</w:t>
      </w:r>
    </w:p>
    <w:p w14:paraId="33074AF6">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6.6 对技术复杂的货物，甲方可聘请国家认可的专业检测机构参与初步验收及最终验收，专业检测机构出具的质量检测报告作为甲方判断乙方的货物能否通过验收的条件之一，无论是否通过验收，相关检测费用均由乙方承担。</w:t>
      </w:r>
    </w:p>
    <w:p w14:paraId="33074AF7">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七、技术资料</w:t>
      </w:r>
    </w:p>
    <w:p w14:paraId="33074AF8">
      <w:pPr>
        <w:pStyle w:val="14"/>
        <w:spacing w:before="120" w:after="120" w:line="360" w:lineRule="auto"/>
        <w:ind w:firstLine="420" w:firstLineChars="200"/>
        <w:rPr>
          <w:rFonts w:hAnsi="宋体" w:cs="宋体"/>
          <w:b/>
          <w:color w:val="auto"/>
          <w:highlight w:val="none"/>
        </w:rPr>
      </w:pPr>
      <w:r>
        <w:rPr>
          <w:rFonts w:hint="eastAsia" w:hAnsi="宋体" w:cs="宋体"/>
          <w:color w:val="auto"/>
          <w:highlight w:val="none"/>
        </w:rPr>
        <w:t>7.1乙方应按招标文件规定的时间向甲方提供使用货物的有关技术资料。</w:t>
      </w:r>
    </w:p>
    <w:p w14:paraId="33074AF9">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7.2 未经甲方书面同意，乙方不得将由甲方提供的有关合同或任何合同条文、规格、计划、图纸、样品或资料提供给与履行本合同无关的任何人。即使向履行本合同有关的人员提供，也应注意保密并限于履行合同的必需范围。</w:t>
      </w:r>
    </w:p>
    <w:p w14:paraId="33074AFA">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八、知识产权</w:t>
      </w:r>
    </w:p>
    <w:p w14:paraId="33074AFB">
      <w:pPr>
        <w:spacing w:line="360" w:lineRule="auto"/>
        <w:ind w:firstLine="440" w:firstLineChars="200"/>
        <w:rPr>
          <w:rFonts w:ascii="宋体" w:hAnsi="宋体" w:cs="宋体"/>
          <w:color w:val="auto"/>
          <w:szCs w:val="21"/>
          <w:highlight w:val="none"/>
        </w:rPr>
      </w:pPr>
      <w:r>
        <w:rPr>
          <w:rFonts w:hint="eastAsia" w:ascii="宋体" w:hAnsi="宋体" w:cs="宋体"/>
          <w:color w:val="auto"/>
          <w:szCs w:val="21"/>
          <w:highlight w:val="none"/>
        </w:rPr>
        <w:t>乙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14:paraId="33074AFC">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九、违约责任</w:t>
      </w:r>
    </w:p>
    <w:p w14:paraId="33074AFD">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9.1 乙方履约的前提下，甲方无正当理由拒收货物的，甲方向乙方偿付拒收货款总值的万分之五违约金。甲方未按合同规定的时间和要求向乙方提供相关安装条件，乙方交付时间顺延。</w:t>
      </w:r>
    </w:p>
    <w:p w14:paraId="33074AFE">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9.2 乙方履约的前提下，甲方无故迟延支付货款的,甲方应按逾期付款总额每日万分之五向乙方支付违约金。</w:t>
      </w:r>
    </w:p>
    <w:p w14:paraId="33074AFF">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9.3 乙方逾期交付货物的，乙方应按逾期交货总额每日万分之五向甲方支付违约金。逾期超过约定日期10个工作日不能交货的，甲方可单方解除本合同，解除通知自送达时生效。乙方因逾期交货或因其他违约行为导致甲方解除合同的，乙方应向甲方支付合同总值5%的违约金，如造成甲方损失超过违约金的，超出部分由乙方继续承担赔偿责任。 </w:t>
      </w:r>
    </w:p>
    <w:p w14:paraId="33074B00">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9.4 乙方供给甲方的设备、材料及乙方自己的施工用具，进入甲方工地现场后的保管，由乙方负责，乙方在甲方工地现场安装、调试、验收人员的安全、保险、食宿和交通由乙方全权负责。因乙方原因给甲方造成损失的，甲方有权向乙方追偿。</w:t>
      </w:r>
    </w:p>
    <w:p w14:paraId="33074B01">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33074B02">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9.6 如未能通过验收，乙方所供货物应在验收后一周内运离安装地点，所需费用由乙方承担，如乙方未在验收后一个月内运离，视为乙方放弃该货物，甲方有权自行处置（包括废物处理），同时，乙方还需支付甲方总货款的10%作为违约金。</w:t>
      </w:r>
    </w:p>
    <w:p w14:paraId="33074B03">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9.7 本合同所有货物的制造及安装，都必须由乙方自己或投标文件中明确的单位承担，不得分包或者转包给其他单位，否则，甲方有权单方解除本合同，解除通知自送达时生效。合同解除后，乙方还应向甲方支付合同总值5%的违约金。 </w:t>
      </w:r>
    </w:p>
    <w:p w14:paraId="33074B0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9.8 乙方履行义务不符合合同约定时，甲方有权扣减本合同总金额的10%的货款，尾款不足10%的，乙方应当补足。</w:t>
      </w:r>
    </w:p>
    <w:p w14:paraId="33074B05">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十、不可抗力事件处理</w:t>
      </w:r>
    </w:p>
    <w:p w14:paraId="33074B06">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10.1 在合同有效期内，任何一方因不可抗力事件导致不能履行合同，则合同履行期可延长，其延长期与不可抗力影响期相同。</w:t>
      </w:r>
    </w:p>
    <w:p w14:paraId="33074B07">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10.2 不可抗力事件发生后，应立即通知对方，并寄送有关权威机构出具的证明。</w:t>
      </w:r>
    </w:p>
    <w:p w14:paraId="33074B0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10.3 不可抗力事件延续30天以上，双方应通过友好协商，确定是否继续履行合同。</w:t>
      </w:r>
    </w:p>
    <w:p w14:paraId="33074B09">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十一、诉讼</w:t>
      </w:r>
    </w:p>
    <w:p w14:paraId="33074B0A">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双方在执行合同中所发生的一切争议，应通过协商解决。如协商不成，双方均应向甲方所在地人民法院提起诉讼。因诉讼产生的相关费用及开支（包括但不限于公证费、诉讼费、保全费、保全担保费、鉴定费、律师费、交通费用）均由败诉方承担。</w:t>
      </w:r>
    </w:p>
    <w:p w14:paraId="33074B0B">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十二、合同生效及其它</w:t>
      </w:r>
    </w:p>
    <w:p w14:paraId="33074B0C">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12.1招投标文件、中标通知书作为合同的附件，与本合同具有同等法律效力。合同经双方法定代表人或授权委托代表人签字、盖章后生效。</w:t>
      </w:r>
    </w:p>
    <w:p w14:paraId="33074B0D">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12.2本合同未尽事宜，遵照《中华人民共和国民法典》有关条文执行。</w:t>
      </w:r>
    </w:p>
    <w:p w14:paraId="33074B0E">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12.3 本合同正本一式</w:t>
      </w:r>
      <w:r>
        <w:rPr>
          <w:rFonts w:hint="eastAsia" w:hAnsi="宋体" w:cs="宋体"/>
          <w:color w:val="auto"/>
          <w:highlight w:val="none"/>
          <w:u w:val="single"/>
        </w:rPr>
        <w:t xml:space="preserve">     </w:t>
      </w:r>
      <w:r>
        <w:rPr>
          <w:rFonts w:hint="eastAsia" w:hAnsi="宋体" w:cs="宋体"/>
          <w:color w:val="auto"/>
          <w:highlight w:val="none"/>
        </w:rPr>
        <w:t>份，甲方</w:t>
      </w:r>
      <w:r>
        <w:rPr>
          <w:rFonts w:hint="eastAsia" w:hAnsi="宋体" w:cs="宋体"/>
          <w:color w:val="auto"/>
          <w:highlight w:val="none"/>
          <w:u w:val="single"/>
        </w:rPr>
        <w:t xml:space="preserve">     </w:t>
      </w:r>
      <w:r>
        <w:rPr>
          <w:rFonts w:hint="eastAsia" w:hAnsi="宋体" w:cs="宋体"/>
          <w:color w:val="auto"/>
          <w:highlight w:val="none"/>
        </w:rPr>
        <w:t>份，乙方</w:t>
      </w:r>
      <w:r>
        <w:rPr>
          <w:rFonts w:hint="eastAsia" w:hAnsi="宋体" w:cs="宋体"/>
          <w:color w:val="auto"/>
          <w:highlight w:val="none"/>
          <w:u w:val="single"/>
        </w:rPr>
        <w:t xml:space="preserve">    </w:t>
      </w:r>
      <w:r>
        <w:rPr>
          <w:rFonts w:hint="eastAsia" w:hAnsi="宋体" w:cs="宋体"/>
          <w:color w:val="auto"/>
          <w:highlight w:val="none"/>
        </w:rPr>
        <w:t>份，具有同等法律效力。</w:t>
      </w:r>
    </w:p>
    <w:p w14:paraId="33074B0F">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12.4 其他：</w:t>
      </w:r>
      <w:r>
        <w:rPr>
          <w:rFonts w:hint="eastAsia" w:hAnsi="宋体" w:cs="宋体"/>
          <w:color w:val="auto"/>
          <w:highlight w:val="none"/>
          <w:u w:val="single"/>
        </w:rPr>
        <w:t xml:space="preserve">                                              </w:t>
      </w:r>
      <w:r>
        <w:rPr>
          <w:rFonts w:hint="eastAsia" w:hAnsi="宋体" w:cs="宋体"/>
          <w:color w:val="auto"/>
          <w:highlight w:val="none"/>
        </w:rPr>
        <w:t xml:space="preserve">。 </w:t>
      </w:r>
    </w:p>
    <w:p w14:paraId="33074B10">
      <w:pPr>
        <w:pStyle w:val="14"/>
        <w:spacing w:before="120" w:after="120" w:line="400" w:lineRule="exact"/>
        <w:ind w:firstLine="420" w:firstLineChars="200"/>
        <w:rPr>
          <w:rFonts w:hAnsi="宋体" w:cs="宋体"/>
          <w:color w:val="auto"/>
          <w:highlight w:val="none"/>
        </w:rPr>
      </w:pPr>
      <w:r>
        <w:rPr>
          <w:rFonts w:hint="eastAsia" w:hAnsi="宋体" w:cs="宋体"/>
          <w:color w:val="auto"/>
          <w:highlight w:val="none"/>
        </w:rPr>
        <w:t>（以下无正文，为签字盖章处）</w:t>
      </w:r>
    </w:p>
    <w:p w14:paraId="33074B11">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   </w:t>
      </w:r>
    </w:p>
    <w:p w14:paraId="33074B12">
      <w:pPr>
        <w:pStyle w:val="14"/>
        <w:spacing w:before="120" w:after="120" w:line="240" w:lineRule="atLeast"/>
        <w:rPr>
          <w:rFonts w:hAnsi="宋体" w:cs="宋体"/>
          <w:color w:val="auto"/>
          <w:highlight w:val="none"/>
        </w:rPr>
      </w:pPr>
    </w:p>
    <w:p w14:paraId="33074B13">
      <w:pPr>
        <w:pStyle w:val="14"/>
        <w:spacing w:before="120" w:after="120" w:line="300" w:lineRule="auto"/>
        <w:rPr>
          <w:rFonts w:hAnsi="宋体" w:cs="宋体"/>
          <w:color w:val="auto"/>
          <w:highlight w:val="none"/>
        </w:rPr>
      </w:pPr>
      <w:r>
        <w:rPr>
          <w:rFonts w:hint="eastAsia" w:hAnsi="宋体" w:cs="宋体"/>
          <w:color w:val="auto"/>
          <w:highlight w:val="none"/>
        </w:rPr>
        <w:t>甲方： 南京医科大学（盖章）                 乙方： （盖章）</w:t>
      </w:r>
    </w:p>
    <w:p w14:paraId="33074B14">
      <w:pPr>
        <w:pStyle w:val="14"/>
        <w:spacing w:before="120" w:after="120" w:line="300" w:lineRule="auto"/>
        <w:rPr>
          <w:rFonts w:hAnsi="宋体" w:cs="宋体"/>
          <w:color w:val="auto"/>
          <w:highlight w:val="none"/>
        </w:rPr>
      </w:pPr>
      <w:r>
        <w:rPr>
          <w:rFonts w:hint="eastAsia" w:hAnsi="宋体" w:cs="宋体"/>
          <w:color w:val="auto"/>
          <w:highlight w:val="none"/>
        </w:rPr>
        <w:t xml:space="preserve">地址：南京市江宁区龙眠大道101号            地址： </w:t>
      </w:r>
    </w:p>
    <w:p w14:paraId="33074B15">
      <w:pPr>
        <w:pStyle w:val="14"/>
        <w:spacing w:before="120" w:after="120" w:line="300" w:lineRule="auto"/>
        <w:rPr>
          <w:rFonts w:hAnsi="宋体" w:cs="宋体"/>
          <w:color w:val="auto"/>
          <w:highlight w:val="none"/>
        </w:rPr>
      </w:pPr>
      <w:r>
        <w:rPr>
          <w:rFonts w:hint="eastAsia" w:hAnsi="宋体" w:cs="宋体"/>
          <w:color w:val="auto"/>
          <w:highlight w:val="none"/>
        </w:rPr>
        <w:t>法定代表人/授权代表：（签字）               法定代表人/授权代表：（签字）</w:t>
      </w:r>
    </w:p>
    <w:p w14:paraId="33074B16">
      <w:pPr>
        <w:pStyle w:val="14"/>
        <w:spacing w:before="120" w:after="120" w:line="300" w:lineRule="auto"/>
        <w:rPr>
          <w:rFonts w:hAnsi="宋体" w:cs="宋体"/>
          <w:color w:val="auto"/>
          <w:highlight w:val="none"/>
        </w:rPr>
      </w:pPr>
      <w:r>
        <w:rPr>
          <w:rFonts w:hint="eastAsia" w:hAnsi="宋体" w:cs="宋体"/>
          <w:color w:val="auto"/>
          <w:highlight w:val="none"/>
        </w:rPr>
        <w:t>签订日期：   年    月    日                 签订日期：   年    月    日</w:t>
      </w:r>
    </w:p>
    <w:p w14:paraId="33074B17">
      <w:pPr>
        <w:pStyle w:val="14"/>
        <w:spacing w:before="120" w:after="120" w:line="300" w:lineRule="auto"/>
        <w:rPr>
          <w:rFonts w:hAnsi="宋体" w:cs="宋体"/>
          <w:color w:val="auto"/>
          <w:highlight w:val="none"/>
        </w:rPr>
      </w:pPr>
    </w:p>
    <w:p w14:paraId="33074B18">
      <w:pPr>
        <w:shd w:val="clear" w:color="auto" w:fill="FFFFFF"/>
        <w:spacing w:line="360" w:lineRule="auto"/>
        <w:rPr>
          <w:rFonts w:ascii="宋体" w:hAnsi="宋体"/>
          <w:color w:val="auto"/>
          <w:sz w:val="24"/>
          <w:szCs w:val="28"/>
          <w:highlight w:val="none"/>
          <w:lang w:val="zh-CN"/>
        </w:rPr>
      </w:pPr>
      <w:r>
        <w:rPr>
          <w:rFonts w:hint="eastAsia" w:ascii="宋体" w:hAnsi="宋体"/>
          <w:color w:val="auto"/>
          <w:sz w:val="24"/>
          <w:szCs w:val="28"/>
          <w:highlight w:val="none"/>
        </w:rPr>
        <w:t>附件1：</w:t>
      </w:r>
      <w:r>
        <w:rPr>
          <w:rFonts w:hint="eastAsia" w:ascii="宋体" w:hAnsi="宋体"/>
          <w:color w:val="auto"/>
          <w:sz w:val="24"/>
          <w:szCs w:val="28"/>
          <w:highlight w:val="none"/>
          <w:lang w:val="zh-CN"/>
        </w:rPr>
        <w:t>分项报价表</w:t>
      </w:r>
    </w:p>
    <w:tbl>
      <w:tblPr>
        <w:tblStyle w:val="24"/>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768"/>
        <w:gridCol w:w="713"/>
        <w:gridCol w:w="1044"/>
        <w:gridCol w:w="1044"/>
        <w:gridCol w:w="1214"/>
        <w:gridCol w:w="1216"/>
        <w:gridCol w:w="1071"/>
      </w:tblGrid>
      <w:tr w14:paraId="3307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33074B19">
            <w:pPr>
              <w:jc w:val="center"/>
              <w:rPr>
                <w:color w:val="auto"/>
                <w:highlight w:val="none"/>
              </w:rPr>
            </w:pPr>
            <w:r>
              <w:rPr>
                <w:rFonts w:hint="eastAsia"/>
                <w:color w:val="auto"/>
                <w:highlight w:val="none"/>
              </w:rPr>
              <w:t>序号</w:t>
            </w:r>
          </w:p>
        </w:tc>
        <w:tc>
          <w:tcPr>
            <w:tcW w:w="1768" w:type="dxa"/>
            <w:tcBorders>
              <w:top w:val="single" w:color="auto" w:sz="4" w:space="0"/>
              <w:left w:val="single" w:color="auto" w:sz="4" w:space="0"/>
              <w:bottom w:val="single" w:color="auto" w:sz="4" w:space="0"/>
              <w:right w:val="single" w:color="auto" w:sz="4" w:space="0"/>
            </w:tcBorders>
            <w:vAlign w:val="center"/>
          </w:tcPr>
          <w:p w14:paraId="33074B1A">
            <w:pPr>
              <w:jc w:val="center"/>
              <w:rPr>
                <w:color w:val="auto"/>
                <w:highlight w:val="none"/>
              </w:rPr>
            </w:pPr>
            <w:r>
              <w:rPr>
                <w:rFonts w:hint="eastAsia"/>
                <w:color w:val="auto"/>
                <w:highlight w:val="none"/>
              </w:rPr>
              <w:t>标的名称</w:t>
            </w:r>
          </w:p>
        </w:tc>
        <w:tc>
          <w:tcPr>
            <w:tcW w:w="713" w:type="dxa"/>
            <w:tcBorders>
              <w:top w:val="single" w:color="auto" w:sz="4" w:space="0"/>
              <w:left w:val="single" w:color="auto" w:sz="4" w:space="0"/>
              <w:bottom w:val="single" w:color="auto" w:sz="4" w:space="0"/>
              <w:right w:val="single" w:color="auto" w:sz="4" w:space="0"/>
            </w:tcBorders>
            <w:vAlign w:val="center"/>
          </w:tcPr>
          <w:p w14:paraId="33074B1B">
            <w:pPr>
              <w:jc w:val="center"/>
              <w:rPr>
                <w:color w:val="auto"/>
                <w:highlight w:val="none"/>
              </w:rPr>
            </w:pPr>
            <w:r>
              <w:rPr>
                <w:rFonts w:hint="eastAsia"/>
                <w:color w:val="auto"/>
                <w:highlight w:val="none"/>
              </w:rPr>
              <w:t>数量</w:t>
            </w:r>
          </w:p>
        </w:tc>
        <w:tc>
          <w:tcPr>
            <w:tcW w:w="1044" w:type="dxa"/>
            <w:tcBorders>
              <w:top w:val="single" w:color="auto" w:sz="4" w:space="0"/>
              <w:left w:val="single" w:color="auto" w:sz="4" w:space="0"/>
              <w:bottom w:val="single" w:color="auto" w:sz="4" w:space="0"/>
              <w:right w:val="single" w:color="auto" w:sz="4" w:space="0"/>
            </w:tcBorders>
            <w:vAlign w:val="center"/>
          </w:tcPr>
          <w:p w14:paraId="33074B1C">
            <w:pPr>
              <w:jc w:val="center"/>
              <w:rPr>
                <w:color w:val="auto"/>
                <w:highlight w:val="none"/>
              </w:rPr>
            </w:pPr>
            <w:r>
              <w:rPr>
                <w:rFonts w:hint="eastAsia"/>
                <w:color w:val="auto"/>
                <w:highlight w:val="none"/>
              </w:rPr>
              <w:t>单位</w:t>
            </w:r>
          </w:p>
        </w:tc>
        <w:tc>
          <w:tcPr>
            <w:tcW w:w="1044" w:type="dxa"/>
            <w:tcBorders>
              <w:top w:val="single" w:color="auto" w:sz="4" w:space="0"/>
              <w:left w:val="single" w:color="auto" w:sz="4" w:space="0"/>
              <w:bottom w:val="single" w:color="auto" w:sz="4" w:space="0"/>
              <w:right w:val="single" w:color="auto" w:sz="4" w:space="0"/>
            </w:tcBorders>
            <w:vAlign w:val="center"/>
          </w:tcPr>
          <w:p w14:paraId="33074B1D">
            <w:pPr>
              <w:jc w:val="center"/>
              <w:rPr>
                <w:color w:val="auto"/>
                <w:highlight w:val="none"/>
              </w:rPr>
            </w:pPr>
            <w:r>
              <w:rPr>
                <w:rFonts w:hint="eastAsia"/>
                <w:color w:val="auto"/>
                <w:highlight w:val="none"/>
              </w:rPr>
              <w:t>品牌</w:t>
            </w:r>
          </w:p>
        </w:tc>
        <w:tc>
          <w:tcPr>
            <w:tcW w:w="1214" w:type="dxa"/>
            <w:tcBorders>
              <w:top w:val="single" w:color="auto" w:sz="4" w:space="0"/>
              <w:left w:val="single" w:color="auto" w:sz="4" w:space="0"/>
              <w:bottom w:val="single" w:color="auto" w:sz="4" w:space="0"/>
              <w:right w:val="single" w:color="auto" w:sz="4" w:space="0"/>
            </w:tcBorders>
            <w:vAlign w:val="center"/>
          </w:tcPr>
          <w:p w14:paraId="33074B1E">
            <w:pPr>
              <w:jc w:val="center"/>
              <w:rPr>
                <w:color w:val="auto"/>
                <w:highlight w:val="none"/>
              </w:rPr>
            </w:pPr>
            <w:r>
              <w:rPr>
                <w:rFonts w:hint="eastAsia"/>
                <w:color w:val="auto"/>
                <w:highlight w:val="none"/>
              </w:rPr>
              <w:t>规格型号</w:t>
            </w:r>
          </w:p>
        </w:tc>
        <w:tc>
          <w:tcPr>
            <w:tcW w:w="1216" w:type="dxa"/>
            <w:tcBorders>
              <w:top w:val="single" w:color="auto" w:sz="4" w:space="0"/>
              <w:left w:val="single" w:color="auto" w:sz="4" w:space="0"/>
              <w:bottom w:val="single" w:color="auto" w:sz="4" w:space="0"/>
              <w:right w:val="single" w:color="auto" w:sz="4" w:space="0"/>
            </w:tcBorders>
            <w:vAlign w:val="center"/>
          </w:tcPr>
          <w:p w14:paraId="33074B1F">
            <w:pPr>
              <w:jc w:val="center"/>
              <w:rPr>
                <w:color w:val="auto"/>
                <w:highlight w:val="none"/>
              </w:rPr>
            </w:pPr>
            <w:r>
              <w:rPr>
                <w:rFonts w:hint="eastAsia"/>
                <w:color w:val="auto"/>
                <w:highlight w:val="none"/>
              </w:rPr>
              <w:t>单价</w:t>
            </w:r>
          </w:p>
          <w:p w14:paraId="33074B20">
            <w:pPr>
              <w:jc w:val="center"/>
              <w:rPr>
                <w:color w:val="auto"/>
                <w:highlight w:val="none"/>
              </w:rPr>
            </w:pPr>
            <w:r>
              <w:rPr>
                <w:rFonts w:hint="eastAsia"/>
                <w:color w:val="auto"/>
                <w:highlight w:val="none"/>
              </w:rPr>
              <w:t>（万元）</w:t>
            </w:r>
          </w:p>
        </w:tc>
        <w:tc>
          <w:tcPr>
            <w:tcW w:w="1071" w:type="dxa"/>
            <w:tcBorders>
              <w:top w:val="single" w:color="auto" w:sz="4" w:space="0"/>
              <w:left w:val="single" w:color="auto" w:sz="4" w:space="0"/>
              <w:bottom w:val="single" w:color="auto" w:sz="4" w:space="0"/>
              <w:right w:val="single" w:color="auto" w:sz="4" w:space="0"/>
            </w:tcBorders>
            <w:vAlign w:val="center"/>
          </w:tcPr>
          <w:p w14:paraId="33074B21">
            <w:pPr>
              <w:jc w:val="center"/>
              <w:rPr>
                <w:color w:val="auto"/>
                <w:highlight w:val="none"/>
              </w:rPr>
            </w:pPr>
            <w:r>
              <w:rPr>
                <w:rFonts w:hint="eastAsia"/>
                <w:color w:val="auto"/>
                <w:highlight w:val="none"/>
              </w:rPr>
              <w:t>总价</w:t>
            </w:r>
          </w:p>
          <w:p w14:paraId="33074B22">
            <w:pPr>
              <w:jc w:val="center"/>
              <w:rPr>
                <w:color w:val="auto"/>
                <w:highlight w:val="none"/>
              </w:rPr>
            </w:pPr>
            <w:r>
              <w:rPr>
                <w:rFonts w:hint="eastAsia"/>
                <w:color w:val="auto"/>
                <w:highlight w:val="none"/>
              </w:rPr>
              <w:t>（万元）</w:t>
            </w:r>
          </w:p>
        </w:tc>
      </w:tr>
      <w:tr w14:paraId="3307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33074B24">
            <w:pPr>
              <w:jc w:val="center"/>
              <w:rPr>
                <w:color w:val="auto"/>
                <w:highlight w:val="none"/>
              </w:rPr>
            </w:pPr>
          </w:p>
        </w:tc>
        <w:tc>
          <w:tcPr>
            <w:tcW w:w="1768" w:type="dxa"/>
            <w:tcBorders>
              <w:top w:val="single" w:color="auto" w:sz="4" w:space="0"/>
              <w:left w:val="single" w:color="auto" w:sz="4" w:space="0"/>
              <w:bottom w:val="single" w:color="auto" w:sz="4" w:space="0"/>
              <w:right w:val="single" w:color="auto" w:sz="4" w:space="0"/>
            </w:tcBorders>
            <w:vAlign w:val="center"/>
          </w:tcPr>
          <w:p w14:paraId="33074B25">
            <w:pPr>
              <w:jc w:val="center"/>
              <w:rPr>
                <w:color w:val="auto"/>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33074B26">
            <w:pPr>
              <w:spacing w:line="360" w:lineRule="auto"/>
              <w:jc w:val="center"/>
              <w:rPr>
                <w:color w:val="auto"/>
                <w:highlight w:val="none"/>
              </w:rPr>
            </w:pPr>
          </w:p>
        </w:tc>
        <w:tc>
          <w:tcPr>
            <w:tcW w:w="1044" w:type="dxa"/>
            <w:tcBorders>
              <w:top w:val="single" w:color="auto" w:sz="4" w:space="0"/>
              <w:left w:val="single" w:color="auto" w:sz="4" w:space="0"/>
              <w:bottom w:val="single" w:color="auto" w:sz="4" w:space="0"/>
              <w:right w:val="single" w:color="auto" w:sz="4" w:space="0"/>
            </w:tcBorders>
            <w:vAlign w:val="center"/>
          </w:tcPr>
          <w:p w14:paraId="33074B27">
            <w:pPr>
              <w:spacing w:line="360" w:lineRule="auto"/>
              <w:jc w:val="center"/>
              <w:rPr>
                <w:color w:val="auto"/>
                <w:highlight w:val="none"/>
              </w:rPr>
            </w:pPr>
          </w:p>
        </w:tc>
        <w:tc>
          <w:tcPr>
            <w:tcW w:w="1044" w:type="dxa"/>
            <w:tcBorders>
              <w:top w:val="single" w:color="auto" w:sz="4" w:space="0"/>
              <w:left w:val="single" w:color="auto" w:sz="4" w:space="0"/>
              <w:bottom w:val="single" w:color="auto" w:sz="4" w:space="0"/>
              <w:right w:val="single" w:color="auto" w:sz="4" w:space="0"/>
            </w:tcBorders>
            <w:vAlign w:val="center"/>
          </w:tcPr>
          <w:p w14:paraId="33074B28">
            <w:pPr>
              <w:spacing w:line="360" w:lineRule="auto"/>
              <w:jc w:val="center"/>
              <w:rPr>
                <w:rFonts w:ascii="宋体" w:hAnsi="宋体"/>
                <w:color w:val="auto"/>
                <w:szCs w:val="21"/>
                <w:highlight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33074B29">
            <w:pPr>
              <w:jc w:val="center"/>
              <w:rPr>
                <w:color w:val="auto"/>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33074B2A">
            <w:pPr>
              <w:jc w:val="center"/>
              <w:rPr>
                <w:color w:val="auto"/>
                <w:highlight w:val="none"/>
              </w:rPr>
            </w:pPr>
          </w:p>
        </w:tc>
        <w:tc>
          <w:tcPr>
            <w:tcW w:w="1071" w:type="dxa"/>
            <w:tcBorders>
              <w:top w:val="single" w:color="auto" w:sz="4" w:space="0"/>
              <w:left w:val="single" w:color="auto" w:sz="4" w:space="0"/>
              <w:bottom w:val="single" w:color="auto" w:sz="4" w:space="0"/>
              <w:right w:val="single" w:color="auto" w:sz="4" w:space="0"/>
            </w:tcBorders>
            <w:vAlign w:val="center"/>
          </w:tcPr>
          <w:p w14:paraId="33074B2B">
            <w:pPr>
              <w:jc w:val="center"/>
              <w:rPr>
                <w:color w:val="auto"/>
                <w:highlight w:val="none"/>
              </w:rPr>
            </w:pPr>
          </w:p>
        </w:tc>
      </w:tr>
      <w:tr w14:paraId="3307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57" w:type="dxa"/>
            <w:gridSpan w:val="4"/>
            <w:tcBorders>
              <w:top w:val="single" w:color="auto" w:sz="4" w:space="0"/>
              <w:left w:val="single" w:color="auto" w:sz="4" w:space="0"/>
              <w:bottom w:val="single" w:color="auto" w:sz="4" w:space="0"/>
              <w:right w:val="single" w:color="auto" w:sz="4" w:space="0"/>
            </w:tcBorders>
            <w:vAlign w:val="center"/>
          </w:tcPr>
          <w:p w14:paraId="33074B2D">
            <w:pPr>
              <w:jc w:val="center"/>
              <w:rPr>
                <w:color w:val="auto"/>
                <w:highlight w:val="none"/>
              </w:rPr>
            </w:pPr>
            <w:r>
              <w:rPr>
                <w:rFonts w:hint="eastAsia"/>
                <w:color w:val="auto"/>
                <w:highlight w:val="none"/>
              </w:rPr>
              <w:t>合计</w:t>
            </w:r>
          </w:p>
        </w:tc>
        <w:tc>
          <w:tcPr>
            <w:tcW w:w="1044" w:type="dxa"/>
            <w:tcBorders>
              <w:top w:val="single" w:color="auto" w:sz="4" w:space="0"/>
              <w:left w:val="single" w:color="auto" w:sz="4" w:space="0"/>
              <w:bottom w:val="single" w:color="auto" w:sz="4" w:space="0"/>
              <w:right w:val="single" w:color="auto" w:sz="4" w:space="0"/>
            </w:tcBorders>
            <w:vAlign w:val="center"/>
          </w:tcPr>
          <w:p w14:paraId="33074B2E">
            <w:pPr>
              <w:jc w:val="center"/>
              <w:rPr>
                <w:color w:val="auto"/>
                <w:highlight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33074B2F">
            <w:pPr>
              <w:jc w:val="center"/>
              <w:rPr>
                <w:color w:val="auto"/>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33074B30">
            <w:pPr>
              <w:jc w:val="center"/>
              <w:rPr>
                <w:color w:val="auto"/>
                <w:highlight w:val="none"/>
              </w:rPr>
            </w:pPr>
          </w:p>
        </w:tc>
        <w:tc>
          <w:tcPr>
            <w:tcW w:w="1071" w:type="dxa"/>
            <w:tcBorders>
              <w:top w:val="single" w:color="auto" w:sz="4" w:space="0"/>
              <w:left w:val="single" w:color="auto" w:sz="4" w:space="0"/>
              <w:bottom w:val="single" w:color="auto" w:sz="4" w:space="0"/>
              <w:right w:val="single" w:color="auto" w:sz="4" w:space="0"/>
            </w:tcBorders>
            <w:vAlign w:val="center"/>
          </w:tcPr>
          <w:p w14:paraId="33074B31">
            <w:pPr>
              <w:jc w:val="center"/>
              <w:rPr>
                <w:color w:val="auto"/>
                <w:highlight w:val="none"/>
              </w:rPr>
            </w:pPr>
          </w:p>
        </w:tc>
      </w:tr>
    </w:tbl>
    <w:p w14:paraId="33074B33">
      <w:pPr>
        <w:rPr>
          <w:color w:val="auto"/>
          <w:highlight w:val="none"/>
        </w:rPr>
      </w:pPr>
    </w:p>
    <w:p w14:paraId="33074B34">
      <w:pPr>
        <w:rPr>
          <w:rFonts w:eastAsia="宋体"/>
          <w:color w:val="auto"/>
          <w:highlight w:val="none"/>
        </w:rPr>
      </w:pPr>
      <w:r>
        <w:rPr>
          <w:rFonts w:hint="eastAsia"/>
          <w:color w:val="auto"/>
          <w:highlight w:val="none"/>
        </w:rPr>
        <w:t>附件2：货物配置清单</w:t>
      </w:r>
    </w:p>
    <w:p w14:paraId="33074B35">
      <w:pPr>
        <w:pStyle w:val="36"/>
        <w:ind w:firstLine="0"/>
        <w:rPr>
          <w:rFonts w:asciiTheme="minorEastAsia" w:hAnsiTheme="minorEastAsia" w:eastAsiaTheme="minorEastAsia"/>
          <w:color w:val="auto"/>
          <w:sz w:val="28"/>
          <w:szCs w:val="28"/>
          <w:highlight w:val="none"/>
        </w:rPr>
      </w:pPr>
    </w:p>
    <w:p w14:paraId="33074B36">
      <w:pPr>
        <w:pStyle w:val="2"/>
        <w:pageBreakBefore/>
        <w:spacing w:line="360" w:lineRule="auto"/>
        <w:rPr>
          <w:rFonts w:asciiTheme="majorEastAsia" w:hAnsiTheme="majorEastAsia" w:eastAsiaTheme="majorEastAsia" w:cstheme="minorBidi"/>
          <w:b/>
          <w:color w:val="auto"/>
          <w:kern w:val="0"/>
          <w:sz w:val="36"/>
          <w:szCs w:val="36"/>
          <w:highlight w:val="none"/>
        </w:rPr>
      </w:pPr>
      <w:bookmarkStart w:id="55" w:name="_Toc14881"/>
      <w:r>
        <w:rPr>
          <w:rFonts w:hint="eastAsia" w:asciiTheme="majorEastAsia" w:hAnsiTheme="majorEastAsia" w:eastAsiaTheme="majorEastAsia" w:cstheme="minorBidi"/>
          <w:b/>
          <w:color w:val="auto"/>
          <w:kern w:val="0"/>
          <w:sz w:val="32"/>
          <w:szCs w:val="32"/>
          <w:highlight w:val="none"/>
        </w:rPr>
        <w:t>第六章  投标文件格式</w:t>
      </w:r>
      <w:bookmarkEnd w:id="55"/>
      <w:r>
        <w:rPr>
          <w:rFonts w:hint="eastAsia" w:asciiTheme="majorEastAsia" w:hAnsiTheme="majorEastAsia" w:eastAsiaTheme="majorEastAsia" w:cstheme="minorBidi"/>
          <w:b/>
          <w:color w:val="auto"/>
          <w:kern w:val="0"/>
          <w:sz w:val="36"/>
          <w:szCs w:val="36"/>
          <w:highlight w:val="none"/>
        </w:rPr>
        <w:t xml:space="preserve"> </w:t>
      </w:r>
    </w:p>
    <w:p w14:paraId="33074B37">
      <w:pPr>
        <w:spacing w:line="360" w:lineRule="auto"/>
        <w:jc w:val="center"/>
        <w:rPr>
          <w:rFonts w:asciiTheme="majorEastAsia" w:hAnsiTheme="majorEastAsia" w:eastAsiaTheme="majorEastAsia"/>
          <w:b/>
          <w:color w:val="auto"/>
          <w:sz w:val="36"/>
          <w:szCs w:val="36"/>
          <w:highlight w:val="none"/>
        </w:rPr>
      </w:pPr>
      <w:bookmarkStart w:id="56" w:name="_Hlt26955039"/>
      <w:bookmarkEnd w:id="56"/>
      <w:bookmarkStart w:id="57" w:name="_Hlt26671244"/>
      <w:bookmarkEnd w:id="57"/>
      <w:bookmarkStart w:id="58" w:name="_Toc120614282"/>
      <w:bookmarkStart w:id="59" w:name="_Toc26554094"/>
      <w:bookmarkStart w:id="60" w:name="_Toc49090576"/>
    </w:p>
    <w:p w14:paraId="33074B38">
      <w:pPr>
        <w:spacing w:line="360" w:lineRule="auto"/>
        <w:jc w:val="center"/>
        <w:rPr>
          <w:rFonts w:ascii="微软雅黑" w:hAnsi="微软雅黑" w:cs="微软雅黑"/>
          <w:b/>
          <w:color w:val="auto"/>
          <w:sz w:val="44"/>
          <w:szCs w:val="44"/>
          <w:highlight w:val="none"/>
        </w:rPr>
      </w:pPr>
      <w:r>
        <w:rPr>
          <w:rFonts w:hint="eastAsia" w:ascii="微软雅黑" w:hAnsi="微软雅黑" w:cs="微软雅黑"/>
          <w:b/>
          <w:color w:val="auto"/>
          <w:sz w:val="44"/>
          <w:szCs w:val="44"/>
          <w:highlight w:val="none"/>
        </w:rPr>
        <w:t>投  标  文  件</w:t>
      </w:r>
    </w:p>
    <w:p w14:paraId="33074B39">
      <w:pPr>
        <w:spacing w:line="360" w:lineRule="auto"/>
        <w:jc w:val="center"/>
        <w:rPr>
          <w:rFonts w:ascii="宋体" w:hAnsi="宋体" w:eastAsia="宋体" w:cs="宋体"/>
          <w:b/>
          <w:color w:val="auto"/>
          <w:sz w:val="24"/>
          <w:szCs w:val="24"/>
          <w:highlight w:val="none"/>
        </w:rPr>
      </w:pPr>
    </w:p>
    <w:p w14:paraId="33074B3A">
      <w:pPr>
        <w:spacing w:line="360" w:lineRule="auto"/>
        <w:jc w:val="center"/>
        <w:rPr>
          <w:rFonts w:ascii="宋体" w:hAnsi="宋体" w:eastAsia="宋体" w:cs="宋体"/>
          <w:b/>
          <w:color w:val="auto"/>
          <w:sz w:val="24"/>
          <w:szCs w:val="24"/>
          <w:highlight w:val="none"/>
        </w:rPr>
      </w:pPr>
    </w:p>
    <w:p w14:paraId="33074B3B">
      <w:pPr>
        <w:spacing w:line="360" w:lineRule="auto"/>
        <w:jc w:val="center"/>
        <w:rPr>
          <w:rFonts w:ascii="宋体" w:hAnsi="宋体" w:eastAsia="宋体" w:cs="宋体"/>
          <w:b/>
          <w:color w:val="auto"/>
          <w:sz w:val="24"/>
          <w:szCs w:val="24"/>
          <w:highlight w:val="none"/>
        </w:rPr>
      </w:pPr>
    </w:p>
    <w:p w14:paraId="33074B3C">
      <w:pPr>
        <w:spacing w:line="360" w:lineRule="auto"/>
        <w:jc w:val="center"/>
        <w:rPr>
          <w:rFonts w:ascii="宋体" w:hAnsi="宋体" w:eastAsia="宋体" w:cs="宋体"/>
          <w:b/>
          <w:color w:val="auto"/>
          <w:sz w:val="24"/>
          <w:szCs w:val="24"/>
          <w:highlight w:val="none"/>
        </w:rPr>
      </w:pPr>
    </w:p>
    <w:p w14:paraId="33074B3D">
      <w:pPr>
        <w:spacing w:line="360" w:lineRule="auto"/>
        <w:jc w:val="center"/>
        <w:rPr>
          <w:rFonts w:ascii="宋体" w:hAnsi="宋体" w:eastAsia="宋体" w:cs="宋体"/>
          <w:b/>
          <w:color w:val="auto"/>
          <w:sz w:val="24"/>
          <w:szCs w:val="24"/>
          <w:highlight w:val="none"/>
        </w:rPr>
      </w:pPr>
    </w:p>
    <w:p w14:paraId="33074B3E">
      <w:pPr>
        <w:spacing w:line="360" w:lineRule="auto"/>
        <w:ind w:firstLine="840" w:firstLineChars="300"/>
        <w:rPr>
          <w:rFonts w:ascii="微软雅黑" w:hAnsi="微软雅黑" w:cs="微软雅黑"/>
          <w:b/>
          <w:color w:val="auto"/>
          <w:sz w:val="28"/>
          <w:szCs w:val="28"/>
          <w:highlight w:val="none"/>
        </w:rPr>
      </w:pPr>
      <w:r>
        <w:rPr>
          <w:color w:val="auto"/>
          <w:sz w:val="28"/>
          <w:highlight w:val="none"/>
        </w:rPr>
        <mc:AlternateContent>
          <mc:Choice Requires="wps">
            <w:drawing>
              <wp:anchor distT="0" distB="0" distL="114300" distR="114300" simplePos="0" relativeHeight="251662336" behindDoc="0" locked="0" layoutInCell="1" allowOverlap="1">
                <wp:simplePos x="0" y="0"/>
                <wp:positionH relativeFrom="column">
                  <wp:posOffset>1602105</wp:posOffset>
                </wp:positionH>
                <wp:positionV relativeFrom="paragraph">
                  <wp:posOffset>240665</wp:posOffset>
                </wp:positionV>
                <wp:extent cx="3389630" cy="635"/>
                <wp:effectExtent l="0" t="0" r="0" b="0"/>
                <wp:wrapNone/>
                <wp:docPr id="5" name="直线 8"/>
                <wp:cNvGraphicFramePr/>
                <a:graphic xmlns:a="http://schemas.openxmlformats.org/drawingml/2006/main">
                  <a:graphicData uri="http://schemas.microsoft.com/office/word/2010/wordprocessingShape">
                    <wps:wsp>
                      <wps:cNvCnPr/>
                      <wps:spPr>
                        <a:xfrm>
                          <a:off x="0" y="0"/>
                          <a:ext cx="33896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126.15pt;margin-top:18.95pt;height:0.05pt;width:266.9pt;z-index:251662336;mso-width-relative:page;mso-height-relative:page;" filled="f" stroked="t" coordsize="21600,21600" o:gfxdata="UEsDBAoAAAAAAIdO4kAAAAAAAAAAAAAAAAAEAAAAZHJzL1BLAwQUAAAACACHTuJAn0xnK9gAAAAJ&#10;AQAADwAAAGRycy9kb3ducmV2LnhtbE2PTU/DMAyG70j8h8hIXKYtaSu2UpruAPTGhQHaNWtMW9E4&#10;XZN9wK/HnMbR9qPXz1uuz24QR5xC70lDslAgkBpve2o1vL/V8xxEiIasGTyhhm8MsK6ur0pTWH+i&#10;VzxuYis4hEJhNHQxjoWUoenQmbDwIxLfPv3kTORxaqWdzInD3SBTpZbSmZ74Q2dGfOyw+docnIZQ&#10;f+C+/pk1M7XNWo/p/unl2Wh9e5OoBxARz/ECw58+q0PFTjt/IBvEoCG9SzNGNWSrexAMrPJlAmLH&#10;i1yBrEr5v0H1C1BLAwQUAAAACACHTuJAqaML9+ABAADRAwAADgAAAGRycy9lMm9Eb2MueG1srVNL&#10;btswEN0X6B0I7ms5Nmw4guUs4qabojXQ5gBjkrII8AcOY9ln6TW66qbHyTU6pFSnTTdeVAtqOJ/H&#10;eW/I9d3JGnZUEbV3Db+ZTDlTTnip3aHhj18f3q04wwROgvFONfyskN9t3r5Z96FWM995I1VkBOKw&#10;7kPDu5RCXVUoOmUBJz4oR8HWRwuJtvFQyQg9oVtTzabTZdX7KEP0QiGSdzsE+YgYrwH0bauF2nrx&#10;ZJVLA2pUBhJRwk4H5JvSbdsqkT63LarETMOJaSorHUL2Pq/VZg31IULotBhbgGtaeMXJgnZ06AVq&#10;CwnYU9T/QFktokffponwthqIFEWIxc30lTZfOgiqcCGpMVxEx/8HKz4dd5Fp2fAFZw4sDfz52/fn&#10;Hz/ZKmvTB6wp5d7t4rjDsIuZ6KmNNv+JAjsVPc8XPdUpMUHO+Xx1u5yT1IJiy/kiI1YvpSFi+qC8&#10;ZdlouNEuk4Uajh8xDam/U7LbONY3/HYxo04F0M1raeJk2kDdozuUWvRGywdtTK7AeNjfm8iOkKdf&#10;vrGFv9LyIVvAbsgroZwGdadAvneSpXMgXRw9B55bsEpyZhS9nmyVzATaXJNJ7I0jEbKug5LZ2nt5&#10;LgIXP026yDTeynyV/tyX6peXuP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0xnK9gAAAAJAQAA&#10;DwAAAAAAAAABACAAAAAiAAAAZHJzL2Rvd25yZXYueG1sUEsBAhQAFAAAAAgAh07iQKmjC/fgAQAA&#10;0QMAAA4AAAAAAAAAAQAgAAAAJwEAAGRycy9lMm9Eb2MueG1sUEsFBgAAAAAGAAYAWQEAAHkFAAAA&#10;AA==&#10;">
                <v:fill on="f" focussize="0,0"/>
                <v:stroke color="#000000" joinstyle="round"/>
                <v:imagedata o:title=""/>
                <o:lock v:ext="edit" aspectratio="f"/>
              </v:line>
            </w:pict>
          </mc:Fallback>
        </mc:AlternateContent>
      </w:r>
      <w:r>
        <w:rPr>
          <w:rFonts w:hint="eastAsia" w:ascii="微软雅黑" w:hAnsi="微软雅黑" w:cs="微软雅黑"/>
          <w:b/>
          <w:color w:val="auto"/>
          <w:sz w:val="28"/>
          <w:szCs w:val="28"/>
          <w:highlight w:val="none"/>
        </w:rPr>
        <w:t>项 目 名 称：</w:t>
      </w:r>
    </w:p>
    <w:p w14:paraId="33074B3F">
      <w:pPr>
        <w:spacing w:line="360" w:lineRule="auto"/>
        <w:ind w:firstLine="840" w:firstLineChars="300"/>
        <w:rPr>
          <w:rFonts w:ascii="微软雅黑" w:hAnsi="微软雅黑" w:cs="微软雅黑"/>
          <w:b/>
          <w:color w:val="auto"/>
          <w:sz w:val="28"/>
          <w:szCs w:val="28"/>
          <w:highlight w:val="none"/>
          <w:u w:val="single"/>
        </w:rPr>
      </w:pPr>
      <w:r>
        <w:rPr>
          <w:color w:val="auto"/>
          <w:sz w:val="28"/>
          <w:highlight w:val="none"/>
        </w:rPr>
        <mc:AlternateContent>
          <mc:Choice Requires="wps">
            <w:drawing>
              <wp:anchor distT="0" distB="0" distL="114300" distR="114300" simplePos="0" relativeHeight="251663360" behindDoc="0" locked="0" layoutInCell="1" allowOverlap="1">
                <wp:simplePos x="0" y="0"/>
                <wp:positionH relativeFrom="column">
                  <wp:posOffset>1579245</wp:posOffset>
                </wp:positionH>
                <wp:positionV relativeFrom="paragraph">
                  <wp:posOffset>304165</wp:posOffset>
                </wp:positionV>
                <wp:extent cx="3389630" cy="635"/>
                <wp:effectExtent l="0" t="0" r="0" b="0"/>
                <wp:wrapNone/>
                <wp:docPr id="6" name="直线 9"/>
                <wp:cNvGraphicFramePr/>
                <a:graphic xmlns:a="http://schemas.openxmlformats.org/drawingml/2006/main">
                  <a:graphicData uri="http://schemas.microsoft.com/office/word/2010/wordprocessingShape">
                    <wps:wsp>
                      <wps:cNvCnPr/>
                      <wps:spPr>
                        <a:xfrm>
                          <a:off x="0" y="0"/>
                          <a:ext cx="33896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 o:spid="_x0000_s1026" o:spt="20" style="position:absolute;left:0pt;margin-left:124.35pt;margin-top:23.95pt;height:0.05pt;width:266.9pt;z-index:251663360;mso-width-relative:page;mso-height-relative:page;" filled="f" stroked="t" coordsize="21600,21600" o:gfxdata="UEsDBAoAAAAAAIdO4kAAAAAAAAAAAAAAAAAEAAAAZHJzL1BLAwQUAAAACACHTuJAv9WcZNgAAAAJ&#10;AQAADwAAAGRycy9kb3ducmV2LnhtbE2PPU/DQAyGdyT+w8lILBW9aygkhFw6ANlYWkCsbmKSiJwv&#10;zV0/4NdjJhhtP3r9vMXq5AZ1oCn0ni0s5gYUce2bnlsLry/VVQYqROQGB89k4YsCrMrzswLzxh95&#10;TYdNbJWEcMjRQhfjmGsd6o4chrkfieX24SeHUcap1c2ERwl3g06MudUOe5YPHY700FH9udk7C6F6&#10;o131Patn5v269ZTsHp+f0NrLi4W5BxXpFP9g+NUXdSjFaev33AQ1WEiWWSqohWV6B0qANEtuQG1l&#10;kRnQZaH/Nyh/AFBLAwQUAAAACACHTuJAxswIguABAADRAwAADgAAAGRycy9lMm9Eb2MueG1srVNL&#10;btswEN0X6B0I7ms5NmzEguUs4qabojXQ5gBjkrII8AcOY9ln6TW66qbHyTU6pFSnTTdeVAtqOJ/H&#10;eW/I9d3JGnZUEbV3Db+ZTDlTTnip3aHhj18f3t1yhgmcBOOdavhZIb/bvH2z7kOtZr7zRqrICMRh&#10;3YeGdymFuqpQdMoCTnxQjoKtjxYSbeOhkhF6Qremmk2ny6r3UYbohUIk73YI8hExXgPo21YLtfXi&#10;ySqXBtSoDCSihJ0OyDel27ZVIn1uW1SJmYYT01RWOoTsfV6rzRrqQ4TQaTG2ANe08IqTBe3o0AvU&#10;FhKwp6j/gbJaRI++TRPhbTUQKYoQi5vpK22+dBBU4UJSY7iIjv8PVnw67iLTsuFLzhxYGvjzt+/P&#10;P36yVdamD1hTyr3bxXGHYRcz0VMbbf4TBXYqep4veqpTYoKc8/ntajknqQXFlvNFRqxeSkPE9EF5&#10;y7LRcKNdJgs1HD9iGlJ/p2S3caxv+GoxWxAg0M1raeJk2kDdozuUWvRGywdtTK7AeNjfm8iOkKdf&#10;vrGFv9LyIVvAbsgroZwGdadAvneSpXMgXRw9B55bsEpyZhS9nmyVzATaXJNJ7I0jEbKug5LZ2nt5&#10;LgIXP026yDTeynyV/tyX6peXuP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9WcZNgAAAAJAQAA&#10;DwAAAAAAAAABACAAAAAiAAAAZHJzL2Rvd25yZXYueG1sUEsBAhQAFAAAAAgAh07iQMbMCILgAQAA&#10;0QMAAA4AAAAAAAAAAQAgAAAAJwEAAGRycy9lMm9Eb2MueG1sUEsFBgAAAAAGAAYAWQEAAHkFAAAA&#10;AA==&#10;">
                <v:fill on="f" focussize="0,0"/>
                <v:stroke color="#000000" joinstyle="round"/>
                <v:imagedata o:title=""/>
                <o:lock v:ext="edit" aspectratio="f"/>
              </v:line>
            </w:pict>
          </mc:Fallback>
        </mc:AlternateContent>
      </w:r>
      <w:r>
        <w:rPr>
          <w:rFonts w:hint="eastAsia" w:ascii="微软雅黑" w:hAnsi="微软雅黑" w:cs="微软雅黑"/>
          <w:b/>
          <w:color w:val="auto"/>
          <w:sz w:val="28"/>
          <w:szCs w:val="28"/>
          <w:highlight w:val="none"/>
        </w:rPr>
        <w:t>项 目 编 号：</w:t>
      </w:r>
    </w:p>
    <w:p w14:paraId="33074B40">
      <w:pPr>
        <w:spacing w:line="360" w:lineRule="auto"/>
        <w:rPr>
          <w:rFonts w:ascii="微软雅黑" w:hAnsi="微软雅黑" w:cs="微软雅黑"/>
          <w:b/>
          <w:color w:val="auto"/>
          <w:sz w:val="28"/>
          <w:szCs w:val="28"/>
          <w:highlight w:val="none"/>
          <w:u w:val="single"/>
        </w:rPr>
      </w:pPr>
      <w:r>
        <w:rPr>
          <w:color w:val="auto"/>
          <w:sz w:val="28"/>
          <w:highlight w:val="none"/>
        </w:rPr>
        <mc:AlternateContent>
          <mc:Choice Requires="wps">
            <w:drawing>
              <wp:anchor distT="0" distB="0" distL="114300" distR="114300" simplePos="0" relativeHeight="251664384" behindDoc="0" locked="0" layoutInCell="1" allowOverlap="1">
                <wp:simplePos x="0" y="0"/>
                <wp:positionH relativeFrom="column">
                  <wp:posOffset>1617345</wp:posOffset>
                </wp:positionH>
                <wp:positionV relativeFrom="paragraph">
                  <wp:posOffset>337185</wp:posOffset>
                </wp:positionV>
                <wp:extent cx="3389630" cy="635"/>
                <wp:effectExtent l="0" t="0" r="0" b="0"/>
                <wp:wrapNone/>
                <wp:docPr id="7" name="直线 10"/>
                <wp:cNvGraphicFramePr/>
                <a:graphic xmlns:a="http://schemas.openxmlformats.org/drawingml/2006/main">
                  <a:graphicData uri="http://schemas.microsoft.com/office/word/2010/wordprocessingShape">
                    <wps:wsp>
                      <wps:cNvCnPr/>
                      <wps:spPr>
                        <a:xfrm>
                          <a:off x="0" y="0"/>
                          <a:ext cx="33896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127.35pt;margin-top:26.55pt;height:0.05pt;width:266.9pt;z-index:251664384;mso-width-relative:page;mso-height-relative:page;" filled="f" stroked="t" coordsize="21600,21600" o:gfxdata="UEsDBAoAAAAAAIdO4kAAAAAAAAAAAAAAAAAEAAAAZHJzL1BLAwQUAAAACACHTuJAzqLboNgAAAAJ&#10;AQAADwAAAGRycy9kb3ducmV2LnhtbE2PTU/DMAyG70j8h8hIXCaWtKNbVZruAPTGhcHE1WtMW9E4&#10;XZN9wK8nO8HR9qPXz1uuz3YQR5p871hDMlcgiBtnem41vL/VdzkIH5ANDo5Jwzd5WFfXVyUWxp34&#10;lY6b0IoYwr5ADV0IYyGlbzqy6OduJI63TzdZDHGcWmkmPMVwO8hUqaW02HP80OFIjx01X5uD1eDr&#10;Le3rn1kzUx+L1lG6f3p5Rq1vbxL1ACLQOfzBcNGP6lBFp507sPFi0JBm96uIasgWCYgIrPI8A7G7&#10;LFKQVSn/N6h+AVBLAwQUAAAACACHTuJAolA9AOEBAADSAwAADgAAAGRycy9lMm9Eb2MueG1srVNL&#10;bhsxDN0X6B0E7ePxB3aTgcdZxE03RWug7QFoSeMRoB9ExWOfpdfoqpseJ9copXHtNt14kVloKIp8&#10;4nuklvcHa9heRdTeNXwyGnOmnPBSu13Dv319vLnlDBM4CcY71fCjQn6/evtm2YdaTX3njVSREYjD&#10;ug8N71IKdVWh6JQFHPmgHB22PlpItI27SkboCd2aajoeL6reRxmiFwqRvOvhkJ8Q4zWAvm21UGsv&#10;nqxyaUCNykAiStjpgHxVqm1bJdLntkWVmGk4MU1lpUvI3ua1Wi2h3kUInRanEuCaEl5wsqAdXXqG&#10;WkMC9hT1f1BWi+jRt2kkvK0GIkURYjEZv9DmSwdBFS4kNYaz6Ph6sOLTfhOZlg1/x5kDSw1//v7j&#10;+ecvNini9AFrinlwm0hS5R2GTcxMD220+U8c2KEIejwLqg6JCXLOZrd3ixlpLehsMZtnuatLaoiY&#10;PihvWTYabrTLbKGG/UdMQ+ifkOw2jvUNv5tP5wQINHottZxMG6h8dLuSi95o+aiNyRkYd9sHE9ke&#10;cvvLdyrhn7B8yRqwG+LK0TAYnQL53kmWjoGEcfQeeC7BKsmZUfR8slVGKIE210QSe+NIhIuS2dp6&#10;eSwCFz+1ush0Gss8S3/vS/blK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i26DYAAAACQEA&#10;AA8AAAAAAAAAAQAgAAAAIgAAAGRycy9kb3ducmV2LnhtbFBLAQIUABQAAAAIAIdO4kCiUD0A4QEA&#10;ANIDAAAOAAAAAAAAAAEAIAAAACcBAABkcnMvZTJvRG9jLnhtbFBLBQYAAAAABgAGAFkBAAB6BQAA&#10;AAA=&#10;">
                <v:fill on="f" focussize="0,0"/>
                <v:stroke color="#000000" joinstyle="round"/>
                <v:imagedata o:title=""/>
                <o:lock v:ext="edit" aspectratio="f"/>
              </v:line>
            </w:pict>
          </mc:Fallback>
        </mc:AlternateContent>
      </w:r>
      <w:r>
        <w:rPr>
          <w:rFonts w:hint="eastAsia" w:ascii="微软雅黑" w:hAnsi="微软雅黑" w:cs="微软雅黑"/>
          <w:b/>
          <w:color w:val="auto"/>
          <w:sz w:val="28"/>
          <w:szCs w:val="28"/>
          <w:highlight w:val="none"/>
        </w:rPr>
        <w:t xml:space="preserve">          投标人名称 ：</w:t>
      </w:r>
    </w:p>
    <w:p w14:paraId="33074B41">
      <w:pPr>
        <w:spacing w:line="360" w:lineRule="auto"/>
        <w:rPr>
          <w:rFonts w:ascii="微软雅黑" w:hAnsi="微软雅黑" w:cs="微软雅黑"/>
          <w:b/>
          <w:color w:val="auto"/>
          <w:sz w:val="28"/>
          <w:szCs w:val="28"/>
          <w:highlight w:val="none"/>
        </w:rPr>
      </w:pPr>
      <w:r>
        <w:rPr>
          <w:rFonts w:hint="eastAsia" w:ascii="微软雅黑" w:hAnsi="微软雅黑" w:cs="微软雅黑"/>
          <w:b/>
          <w:color w:val="auto"/>
          <w:sz w:val="28"/>
          <w:szCs w:val="28"/>
          <w:highlight w:val="none"/>
        </w:rPr>
        <w:t xml:space="preserve">     </w:t>
      </w:r>
    </w:p>
    <w:p w14:paraId="33074B42">
      <w:pPr>
        <w:spacing w:line="360" w:lineRule="auto"/>
        <w:rPr>
          <w:rFonts w:ascii="微软雅黑" w:hAnsi="微软雅黑" w:cs="微软雅黑"/>
          <w:b/>
          <w:color w:val="auto"/>
          <w:sz w:val="28"/>
          <w:szCs w:val="28"/>
          <w:highlight w:val="none"/>
        </w:rPr>
      </w:pPr>
    </w:p>
    <w:p w14:paraId="33074B43">
      <w:pPr>
        <w:spacing w:line="360" w:lineRule="auto"/>
        <w:rPr>
          <w:rFonts w:ascii="微软雅黑" w:hAnsi="微软雅黑" w:cs="微软雅黑"/>
          <w:b/>
          <w:color w:val="auto"/>
          <w:sz w:val="28"/>
          <w:szCs w:val="28"/>
          <w:highlight w:val="none"/>
        </w:rPr>
      </w:pPr>
    </w:p>
    <w:p w14:paraId="33074B44">
      <w:pPr>
        <w:spacing w:line="360" w:lineRule="auto"/>
        <w:jc w:val="center"/>
        <w:rPr>
          <w:rFonts w:ascii="微软雅黑" w:hAnsi="微软雅黑" w:cs="微软雅黑"/>
          <w:b/>
          <w:color w:val="auto"/>
          <w:sz w:val="28"/>
          <w:szCs w:val="28"/>
          <w:highlight w:val="none"/>
        </w:rPr>
      </w:pPr>
      <w:r>
        <w:rPr>
          <w:rFonts w:hint="eastAsia" w:ascii="微软雅黑" w:hAnsi="微软雅黑" w:cs="微软雅黑"/>
          <w:b/>
          <w:color w:val="auto"/>
          <w:sz w:val="28"/>
          <w:szCs w:val="28"/>
          <w:highlight w:val="none"/>
        </w:rPr>
        <w:t>年    月    日</w:t>
      </w:r>
    </w:p>
    <w:p w14:paraId="33074B45">
      <w:pPr>
        <w:spacing w:line="360" w:lineRule="auto"/>
        <w:jc w:val="center"/>
        <w:rPr>
          <w:rFonts w:ascii="宋体" w:hAnsi="宋体" w:eastAsia="宋体" w:cs="宋体"/>
          <w:b/>
          <w:bCs/>
          <w:color w:val="auto"/>
          <w:sz w:val="24"/>
          <w:szCs w:val="24"/>
          <w:highlight w:val="none"/>
        </w:rPr>
      </w:pPr>
    </w:p>
    <w:p w14:paraId="33074B46">
      <w:pPr>
        <w:spacing w:line="360" w:lineRule="auto"/>
        <w:ind w:firstLine="480" w:firstLineChars="200"/>
        <w:rPr>
          <w:rFonts w:ascii="宋体" w:hAnsi="宋体" w:eastAsia="宋体" w:cs="宋体"/>
          <w:color w:val="auto"/>
          <w:sz w:val="24"/>
          <w:szCs w:val="24"/>
          <w:highlight w:val="none"/>
        </w:rPr>
      </w:pPr>
    </w:p>
    <w:p w14:paraId="33074B47">
      <w:pPr>
        <w:pStyle w:val="36"/>
        <w:ind w:firstLine="0"/>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目  录</w:t>
      </w:r>
    </w:p>
    <w:p w14:paraId="33074B48">
      <w:pPr>
        <w:pStyle w:val="36"/>
        <w:ind w:firstLine="0"/>
        <w:jc w:val="center"/>
        <w:rPr>
          <w:rFonts w:ascii="宋体" w:hAnsi="宋体" w:cs="宋体"/>
          <w:b/>
          <w:bCs/>
          <w:color w:val="auto"/>
          <w:sz w:val="36"/>
          <w:szCs w:val="36"/>
          <w:highlight w:val="none"/>
        </w:rPr>
      </w:pPr>
    </w:p>
    <w:p w14:paraId="33074B49">
      <w:pPr>
        <w:pStyle w:val="36"/>
        <w:ind w:firstLine="0"/>
        <w:jc w:val="center"/>
        <w:rPr>
          <w:rFonts w:ascii="宋体" w:hAnsi="宋体" w:cs="宋体"/>
          <w:b/>
          <w:bCs/>
          <w:color w:val="auto"/>
          <w:sz w:val="36"/>
          <w:szCs w:val="36"/>
          <w:highlight w:val="none"/>
        </w:rPr>
      </w:pPr>
    </w:p>
    <w:p w14:paraId="33074B4A">
      <w:pPr>
        <w:pStyle w:val="36"/>
        <w:ind w:firstLine="0"/>
        <w:jc w:val="center"/>
        <w:rPr>
          <w:rFonts w:ascii="宋体" w:hAnsi="宋体" w:cs="宋体"/>
          <w:b/>
          <w:bCs/>
          <w:color w:val="auto"/>
          <w:sz w:val="36"/>
          <w:szCs w:val="36"/>
          <w:highlight w:val="none"/>
        </w:rPr>
      </w:pPr>
    </w:p>
    <w:p w14:paraId="33074B4B">
      <w:pPr>
        <w:pStyle w:val="36"/>
        <w:ind w:firstLine="0"/>
        <w:jc w:val="center"/>
        <w:rPr>
          <w:rFonts w:ascii="宋体" w:hAnsi="宋体" w:cs="宋体"/>
          <w:b/>
          <w:bCs/>
          <w:color w:val="auto"/>
          <w:sz w:val="36"/>
          <w:szCs w:val="36"/>
          <w:highlight w:val="none"/>
        </w:rPr>
      </w:pPr>
    </w:p>
    <w:p w14:paraId="33074B4C">
      <w:pPr>
        <w:pStyle w:val="36"/>
        <w:ind w:firstLine="0"/>
        <w:jc w:val="center"/>
        <w:rPr>
          <w:rFonts w:ascii="宋体" w:hAnsi="宋体" w:cs="宋体"/>
          <w:b/>
          <w:bCs/>
          <w:color w:val="auto"/>
          <w:sz w:val="36"/>
          <w:szCs w:val="36"/>
          <w:highlight w:val="none"/>
        </w:rPr>
      </w:pPr>
    </w:p>
    <w:p w14:paraId="33074B4D">
      <w:pPr>
        <w:pStyle w:val="36"/>
        <w:ind w:firstLine="0"/>
        <w:jc w:val="center"/>
        <w:rPr>
          <w:rFonts w:ascii="宋体" w:hAnsi="宋体" w:cs="宋体"/>
          <w:b/>
          <w:bCs/>
          <w:color w:val="auto"/>
          <w:sz w:val="36"/>
          <w:szCs w:val="36"/>
          <w:highlight w:val="none"/>
        </w:rPr>
      </w:pPr>
    </w:p>
    <w:p w14:paraId="33074B4E">
      <w:pPr>
        <w:pStyle w:val="36"/>
        <w:ind w:firstLine="0"/>
        <w:jc w:val="center"/>
        <w:rPr>
          <w:rFonts w:ascii="宋体" w:hAnsi="宋体" w:cs="宋体"/>
          <w:b/>
          <w:bCs/>
          <w:color w:val="auto"/>
          <w:sz w:val="36"/>
          <w:szCs w:val="36"/>
          <w:highlight w:val="none"/>
        </w:rPr>
      </w:pPr>
    </w:p>
    <w:p w14:paraId="33074B4F">
      <w:pPr>
        <w:pStyle w:val="36"/>
        <w:ind w:firstLine="0"/>
        <w:jc w:val="center"/>
        <w:rPr>
          <w:rFonts w:ascii="宋体" w:hAnsi="宋体" w:cs="宋体"/>
          <w:b/>
          <w:bCs/>
          <w:color w:val="auto"/>
          <w:sz w:val="36"/>
          <w:szCs w:val="36"/>
          <w:highlight w:val="none"/>
        </w:rPr>
      </w:pPr>
    </w:p>
    <w:p w14:paraId="33074B50">
      <w:pPr>
        <w:pStyle w:val="36"/>
        <w:ind w:firstLine="0"/>
        <w:jc w:val="center"/>
        <w:rPr>
          <w:rFonts w:ascii="宋体" w:hAnsi="宋体" w:cs="宋体"/>
          <w:b/>
          <w:bCs/>
          <w:color w:val="auto"/>
          <w:sz w:val="36"/>
          <w:szCs w:val="36"/>
          <w:highlight w:val="none"/>
        </w:rPr>
      </w:pPr>
    </w:p>
    <w:p w14:paraId="33074B51">
      <w:pPr>
        <w:pStyle w:val="36"/>
        <w:ind w:firstLine="0"/>
        <w:jc w:val="center"/>
        <w:rPr>
          <w:rFonts w:ascii="宋体" w:hAnsi="宋体" w:cs="宋体"/>
          <w:b/>
          <w:bCs/>
          <w:color w:val="auto"/>
          <w:sz w:val="36"/>
          <w:szCs w:val="36"/>
          <w:highlight w:val="none"/>
        </w:rPr>
      </w:pPr>
    </w:p>
    <w:p w14:paraId="33074B52">
      <w:pPr>
        <w:pStyle w:val="36"/>
        <w:ind w:firstLine="0"/>
        <w:jc w:val="center"/>
        <w:rPr>
          <w:rFonts w:ascii="宋体" w:hAnsi="宋体" w:cs="宋体"/>
          <w:b/>
          <w:bCs/>
          <w:color w:val="auto"/>
          <w:sz w:val="36"/>
          <w:szCs w:val="36"/>
          <w:highlight w:val="none"/>
        </w:rPr>
      </w:pPr>
    </w:p>
    <w:p w14:paraId="33074B53">
      <w:pPr>
        <w:pStyle w:val="36"/>
        <w:ind w:firstLine="0"/>
        <w:jc w:val="center"/>
        <w:rPr>
          <w:rFonts w:ascii="宋体" w:hAnsi="宋体" w:cs="宋体"/>
          <w:b/>
          <w:bCs/>
          <w:color w:val="auto"/>
          <w:sz w:val="36"/>
          <w:szCs w:val="36"/>
          <w:highlight w:val="none"/>
        </w:rPr>
      </w:pPr>
    </w:p>
    <w:p w14:paraId="33074B54">
      <w:pPr>
        <w:pStyle w:val="36"/>
        <w:ind w:firstLine="0"/>
        <w:jc w:val="center"/>
        <w:rPr>
          <w:rFonts w:ascii="宋体" w:hAnsi="宋体" w:cs="宋体"/>
          <w:b/>
          <w:bCs/>
          <w:color w:val="auto"/>
          <w:sz w:val="36"/>
          <w:szCs w:val="36"/>
          <w:highlight w:val="none"/>
        </w:rPr>
      </w:pPr>
    </w:p>
    <w:p w14:paraId="33074B55">
      <w:pPr>
        <w:pStyle w:val="36"/>
        <w:ind w:firstLine="0"/>
        <w:jc w:val="center"/>
        <w:rPr>
          <w:rFonts w:ascii="宋体" w:hAnsi="宋体" w:cs="宋体"/>
          <w:b/>
          <w:bCs/>
          <w:color w:val="auto"/>
          <w:sz w:val="36"/>
          <w:szCs w:val="36"/>
          <w:highlight w:val="none"/>
        </w:rPr>
      </w:pPr>
    </w:p>
    <w:p w14:paraId="33074B56">
      <w:pPr>
        <w:pStyle w:val="36"/>
        <w:ind w:firstLine="0"/>
        <w:jc w:val="both"/>
        <w:rPr>
          <w:rFonts w:ascii="宋体" w:hAnsi="宋体" w:cs="宋体"/>
          <w:b/>
          <w:bCs/>
          <w:color w:val="auto"/>
          <w:highlight w:val="none"/>
        </w:rPr>
      </w:pPr>
    </w:p>
    <w:p w14:paraId="33074B57">
      <w:pPr>
        <w:pStyle w:val="36"/>
        <w:ind w:firstLine="0"/>
        <w:jc w:val="both"/>
        <w:rPr>
          <w:rFonts w:ascii="宋体" w:hAnsi="宋体" w:cs="宋体"/>
          <w:b/>
          <w:bCs/>
          <w:color w:val="auto"/>
          <w:highlight w:val="none"/>
        </w:rPr>
      </w:pPr>
    </w:p>
    <w:p w14:paraId="33074B58">
      <w:pPr>
        <w:pStyle w:val="36"/>
        <w:ind w:firstLine="0"/>
        <w:jc w:val="both"/>
        <w:rPr>
          <w:rFonts w:ascii="宋体" w:hAnsi="宋体" w:cs="宋体"/>
          <w:b/>
          <w:bCs/>
          <w:color w:val="auto"/>
          <w:highlight w:val="none"/>
        </w:rPr>
      </w:pPr>
    </w:p>
    <w:p w14:paraId="33074B59">
      <w:pPr>
        <w:pStyle w:val="36"/>
        <w:ind w:firstLine="0"/>
        <w:jc w:val="both"/>
        <w:rPr>
          <w:rFonts w:ascii="宋体" w:hAnsi="宋体" w:cs="宋体"/>
          <w:b/>
          <w:bCs/>
          <w:color w:val="auto"/>
          <w:highlight w:val="none"/>
        </w:rPr>
      </w:pPr>
      <w:r>
        <w:rPr>
          <w:rFonts w:hint="eastAsia" w:ascii="宋体" w:hAnsi="宋体" w:cs="宋体"/>
          <w:b/>
          <w:bCs/>
          <w:color w:val="auto"/>
          <w:highlight w:val="none"/>
        </w:rPr>
        <w:t>附件一</w:t>
      </w:r>
      <w:bookmarkStart w:id="61" w:name="_Toc517190894"/>
    </w:p>
    <w:p w14:paraId="33074B5A">
      <w:pPr>
        <w:pStyle w:val="36"/>
        <w:ind w:firstLine="0"/>
        <w:jc w:val="center"/>
        <w:rPr>
          <w:rFonts w:ascii="宋体" w:hAnsi="宋体" w:cs="宋体"/>
          <w:b/>
          <w:color w:val="auto"/>
          <w:sz w:val="28"/>
          <w:szCs w:val="28"/>
          <w:highlight w:val="none"/>
        </w:rPr>
      </w:pPr>
      <w:r>
        <w:rPr>
          <w:rFonts w:hint="eastAsia" w:ascii="宋体" w:hAnsi="宋体" w:cs="宋体"/>
          <w:b/>
          <w:color w:val="auto"/>
          <w:sz w:val="28"/>
          <w:szCs w:val="28"/>
          <w:highlight w:val="none"/>
        </w:rPr>
        <w:t>投标函</w:t>
      </w:r>
      <w:bookmarkEnd w:id="61"/>
    </w:p>
    <w:p w14:paraId="33074B5B">
      <w:pPr>
        <w:pStyle w:val="36"/>
        <w:spacing w:before="0" w:after="0"/>
        <w:ind w:firstLine="0"/>
        <w:rPr>
          <w:rFonts w:ascii="宋体" w:hAnsi="宋体" w:cs="宋体"/>
          <w:color w:val="auto"/>
          <w:kern w:val="2"/>
          <w:highlight w:val="none"/>
        </w:rPr>
      </w:pPr>
      <w:r>
        <w:rPr>
          <w:rFonts w:hint="eastAsia" w:ascii="宋体" w:hAnsi="宋体" w:cs="宋体"/>
          <w:color w:val="auto"/>
          <w:kern w:val="2"/>
          <w:highlight w:val="none"/>
        </w:rPr>
        <w:t>致：南京医科大学</w:t>
      </w:r>
    </w:p>
    <w:p w14:paraId="33074B5C">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 xml:space="preserve">根据贵方的 </w:t>
      </w:r>
      <w:r>
        <w:rPr>
          <w:rFonts w:hint="eastAsia" w:ascii="宋体" w:hAnsi="宋体" w:cs="宋体"/>
          <w:color w:val="auto"/>
          <w:kern w:val="2"/>
          <w:highlight w:val="none"/>
          <w:u w:val="single"/>
        </w:rPr>
        <w:t xml:space="preserve">                     </w:t>
      </w:r>
      <w:r>
        <w:rPr>
          <w:rFonts w:hint="eastAsia" w:ascii="宋体" w:hAnsi="宋体" w:cs="宋体"/>
          <w:color w:val="auto"/>
          <w:kern w:val="2"/>
          <w:highlight w:val="none"/>
        </w:rPr>
        <w:t>项目（项目编号：     ）招标文件，正式授权下述签字人_____________(姓名)代表我方_____________</w:t>
      </w:r>
      <w:r>
        <w:rPr>
          <w:rFonts w:hint="eastAsia" w:ascii="宋体" w:hAnsi="宋体" w:cs="宋体"/>
          <w:color w:val="auto"/>
          <w:kern w:val="2"/>
          <w:highlight w:val="none"/>
          <w:u w:val="single"/>
        </w:rPr>
        <w:t xml:space="preserve">_       </w:t>
      </w:r>
      <w:r>
        <w:rPr>
          <w:rFonts w:hint="eastAsia" w:ascii="宋体" w:hAnsi="宋体" w:cs="宋体"/>
          <w:color w:val="auto"/>
          <w:kern w:val="2"/>
          <w:highlight w:val="none"/>
        </w:rPr>
        <w:t>（投标人的名称），全权处理本次项目投标的有关事宜。</w:t>
      </w:r>
    </w:p>
    <w:p w14:paraId="33074B5D">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据此函，我公司宣布同意如下：</w:t>
      </w:r>
    </w:p>
    <w:p w14:paraId="33074B5E">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1.按招标文件规定的各项要求，向买方提供所需货物与服务。</w:t>
      </w:r>
    </w:p>
    <w:p w14:paraId="33074B5F">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2.我们完全理解贵方不一定将合同授予最低报价的投标人。</w:t>
      </w:r>
    </w:p>
    <w:p w14:paraId="33074B60">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3.我们已详细审核全部招标文件及其有效补充文件，我们知道必须放弃提出含糊不清或误解问题的权利。</w:t>
      </w:r>
    </w:p>
    <w:p w14:paraId="33074B61">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4.我们同意从规定的开标日期起遵循本投标文件，并在规定的投标有效期</w:t>
      </w:r>
      <w:r>
        <w:rPr>
          <w:rFonts w:hint="eastAsia" w:ascii="宋体" w:hAnsi="宋体" w:cs="宋体"/>
          <w:color w:val="auto"/>
          <w:kern w:val="2"/>
          <w:highlight w:val="none"/>
          <w:u w:val="single"/>
        </w:rPr>
        <w:t xml:space="preserve">      </w:t>
      </w:r>
      <w:r>
        <w:rPr>
          <w:rFonts w:hint="eastAsia" w:ascii="宋体" w:hAnsi="宋体" w:cs="宋体"/>
          <w:color w:val="auto"/>
          <w:kern w:val="2"/>
          <w:highlight w:val="none"/>
        </w:rPr>
        <w:t>天期满之前均具有约束力。</w:t>
      </w:r>
    </w:p>
    <w:p w14:paraId="33074B62">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5.如果在开标后规定的投标有效期内撤回投标或中标后拒绝签订合同，我们的投标保证金可不予退还。</w:t>
      </w:r>
    </w:p>
    <w:p w14:paraId="33074B63">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6.同意向贵方提供贵方可能另外要求的与投标有关的任何证据或资料，并保证我方已提供和将要提供的文件是真实的、准确的。</w:t>
      </w:r>
    </w:p>
    <w:p w14:paraId="33074B64">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7.一旦我方中标,我方将根据招标文件的规定，严格履行合同的责任和义务,并保证在招标文件规定的时间完成项目，交付买方验收、使用。</w:t>
      </w:r>
    </w:p>
    <w:p w14:paraId="33074B65">
      <w:pPr>
        <w:pStyle w:val="36"/>
        <w:spacing w:before="0" w:after="0"/>
        <w:ind w:left="425" w:firstLine="120" w:firstLineChars="50"/>
        <w:rPr>
          <w:rFonts w:ascii="宋体" w:hAnsi="宋体" w:cs="宋体"/>
          <w:color w:val="auto"/>
          <w:kern w:val="2"/>
          <w:highlight w:val="none"/>
        </w:rPr>
      </w:pPr>
      <w:r>
        <w:rPr>
          <w:rFonts w:hint="eastAsia" w:ascii="宋体" w:hAnsi="宋体" w:cs="宋体"/>
          <w:color w:val="auto"/>
          <w:kern w:val="2"/>
          <w:highlight w:val="none"/>
        </w:rPr>
        <w:t>8.与本投标有关的正式通讯地址为：</w:t>
      </w:r>
    </w:p>
    <w:p w14:paraId="33074B66">
      <w:pPr>
        <w:pStyle w:val="36"/>
        <w:spacing w:before="0" w:after="0"/>
        <w:ind w:left="440" w:leftChars="200" w:firstLineChars="200"/>
        <w:rPr>
          <w:rFonts w:ascii="宋体" w:hAnsi="宋体" w:cs="宋体"/>
          <w:color w:val="auto"/>
          <w:kern w:val="2"/>
          <w:highlight w:val="none"/>
        </w:rPr>
      </w:pPr>
      <w:r>
        <w:rPr>
          <w:rFonts w:hint="eastAsia" w:ascii="宋体" w:hAnsi="宋体" w:cs="宋体"/>
          <w:color w:val="auto"/>
          <w:kern w:val="2"/>
          <w:highlight w:val="none"/>
        </w:rPr>
        <w:t>地址：</w:t>
      </w:r>
    </w:p>
    <w:p w14:paraId="33074B67">
      <w:pPr>
        <w:pStyle w:val="36"/>
        <w:spacing w:before="0" w:after="0"/>
        <w:ind w:left="440" w:leftChars="200" w:firstLineChars="200"/>
        <w:rPr>
          <w:rFonts w:ascii="宋体" w:hAnsi="宋体" w:cs="宋体"/>
          <w:color w:val="auto"/>
          <w:kern w:val="2"/>
          <w:highlight w:val="none"/>
        </w:rPr>
      </w:pPr>
      <w:r>
        <w:rPr>
          <w:rFonts w:hint="eastAsia" w:ascii="宋体" w:hAnsi="宋体" w:cs="宋体"/>
          <w:color w:val="auto"/>
          <w:kern w:val="2"/>
          <w:highlight w:val="none"/>
        </w:rPr>
        <w:t>邮编：                           电话：</w:t>
      </w:r>
    </w:p>
    <w:p w14:paraId="33074B68">
      <w:pPr>
        <w:pStyle w:val="36"/>
        <w:spacing w:before="0" w:after="0"/>
        <w:ind w:left="440" w:leftChars="200" w:firstLine="482" w:firstLineChars="200"/>
        <w:rPr>
          <w:rFonts w:ascii="宋体" w:hAnsi="宋体" w:cs="宋体"/>
          <w:b/>
          <w:color w:val="auto"/>
          <w:kern w:val="2"/>
          <w:highlight w:val="none"/>
          <w:u w:val="single"/>
        </w:rPr>
      </w:pPr>
    </w:p>
    <w:p w14:paraId="33074B69">
      <w:pPr>
        <w:pStyle w:val="36"/>
        <w:spacing w:before="0" w:after="0"/>
        <w:ind w:left="440" w:leftChars="200" w:firstLine="482" w:firstLineChars="200"/>
        <w:rPr>
          <w:rFonts w:ascii="宋体" w:hAnsi="宋体" w:cs="宋体"/>
          <w:b/>
          <w:color w:val="auto"/>
          <w:kern w:val="2"/>
          <w:highlight w:val="none"/>
          <w:u w:val="single"/>
        </w:rPr>
      </w:pPr>
    </w:p>
    <w:p w14:paraId="33074B6A">
      <w:pPr>
        <w:pStyle w:val="36"/>
        <w:spacing w:before="0" w:after="0"/>
        <w:rPr>
          <w:rFonts w:ascii="宋体" w:hAnsi="宋体" w:cs="宋体"/>
          <w:color w:val="auto"/>
          <w:kern w:val="2"/>
          <w:highlight w:val="none"/>
        </w:rPr>
      </w:pPr>
      <w:r>
        <w:rPr>
          <w:rFonts w:hint="eastAsia" w:ascii="宋体" w:hAnsi="宋体" w:cs="宋体"/>
          <w:color w:val="auto"/>
          <w:kern w:val="2"/>
          <w:highlight w:val="none"/>
        </w:rPr>
        <w:t xml:space="preserve">投标人授权代表（签字）：  </w:t>
      </w:r>
    </w:p>
    <w:p w14:paraId="33074B6B">
      <w:pPr>
        <w:pStyle w:val="36"/>
        <w:spacing w:before="0" w:after="0"/>
        <w:rPr>
          <w:rFonts w:ascii="宋体" w:hAnsi="宋体" w:cs="宋体"/>
          <w:color w:val="auto"/>
          <w:kern w:val="2"/>
          <w:highlight w:val="none"/>
        </w:rPr>
      </w:pPr>
      <w:r>
        <w:rPr>
          <w:rFonts w:hint="eastAsia" w:ascii="宋体" w:hAnsi="宋体" w:cs="宋体"/>
          <w:color w:val="auto"/>
          <w:kern w:val="2"/>
          <w:highlight w:val="none"/>
        </w:rPr>
        <w:t>法定代表人（签字）：</w:t>
      </w:r>
    </w:p>
    <w:p w14:paraId="33074B6C">
      <w:pPr>
        <w:pStyle w:val="36"/>
        <w:spacing w:before="0" w:after="0"/>
        <w:rPr>
          <w:rFonts w:ascii="宋体" w:hAnsi="宋体" w:cs="宋体"/>
          <w:color w:val="auto"/>
          <w:kern w:val="2"/>
          <w:highlight w:val="none"/>
        </w:rPr>
      </w:pPr>
      <w:r>
        <w:rPr>
          <w:rFonts w:hint="eastAsia" w:ascii="宋体" w:hAnsi="宋体" w:cs="宋体"/>
          <w:color w:val="auto"/>
          <w:kern w:val="2"/>
          <w:highlight w:val="none"/>
        </w:rPr>
        <w:t>投标人名称（公章）：</w:t>
      </w:r>
    </w:p>
    <w:p w14:paraId="33074B6D">
      <w:pPr>
        <w:pStyle w:val="36"/>
        <w:spacing w:before="0" w:after="0"/>
        <w:ind w:left="440" w:leftChars="200" w:firstLine="3000" w:firstLineChars="1250"/>
        <w:rPr>
          <w:rFonts w:ascii="宋体" w:hAnsi="宋体" w:cs="宋体"/>
          <w:color w:val="auto"/>
          <w:kern w:val="2"/>
          <w:highlight w:val="none"/>
        </w:rPr>
      </w:pPr>
    </w:p>
    <w:p w14:paraId="33074B6E">
      <w:pPr>
        <w:pStyle w:val="36"/>
        <w:spacing w:before="0" w:after="0"/>
        <w:jc w:val="right"/>
        <w:rPr>
          <w:rFonts w:ascii="宋体" w:hAnsi="宋体" w:cs="宋体"/>
          <w:color w:val="auto"/>
          <w:kern w:val="2"/>
          <w:highlight w:val="none"/>
        </w:rPr>
      </w:pPr>
      <w:r>
        <w:rPr>
          <w:rFonts w:hint="eastAsia" w:ascii="宋体" w:hAnsi="宋体" w:cs="宋体"/>
          <w:color w:val="auto"/>
          <w:kern w:val="2"/>
          <w:highlight w:val="none"/>
        </w:rPr>
        <w:t>日期：    年  月  日</w:t>
      </w:r>
    </w:p>
    <w:p w14:paraId="33074B6F">
      <w:pPr>
        <w:pStyle w:val="36"/>
        <w:ind w:firstLine="0"/>
        <w:jc w:val="both"/>
        <w:rPr>
          <w:rFonts w:ascii="宋体" w:hAnsi="宋体" w:cs="宋体"/>
          <w:color w:val="auto"/>
          <w:highlight w:val="none"/>
        </w:rPr>
      </w:pPr>
      <w:r>
        <w:rPr>
          <w:rFonts w:hint="eastAsia" w:ascii="宋体" w:hAnsi="宋体" w:cs="宋体"/>
          <w:b/>
          <w:bCs/>
          <w:color w:val="auto"/>
          <w:highlight w:val="none"/>
        </w:rPr>
        <w:t>附件二</w:t>
      </w:r>
    </w:p>
    <w:p w14:paraId="33074B70">
      <w:pPr>
        <w:pStyle w:val="36"/>
        <w:ind w:firstLine="0"/>
        <w:jc w:val="center"/>
        <w:rPr>
          <w:rFonts w:ascii="宋体" w:hAnsi="宋体" w:cs="宋体"/>
          <w:b/>
          <w:color w:val="auto"/>
          <w:sz w:val="28"/>
          <w:szCs w:val="28"/>
          <w:highlight w:val="none"/>
        </w:rPr>
      </w:pPr>
      <w:bookmarkStart w:id="62" w:name="_Toc517190895"/>
      <w:r>
        <w:rPr>
          <w:rFonts w:hint="eastAsia" w:ascii="宋体" w:hAnsi="宋体" w:cs="宋体"/>
          <w:b/>
          <w:color w:val="auto"/>
          <w:sz w:val="28"/>
          <w:szCs w:val="28"/>
          <w:highlight w:val="none"/>
        </w:rPr>
        <w:t>授权书</w:t>
      </w:r>
      <w:bookmarkEnd w:id="62"/>
    </w:p>
    <w:p w14:paraId="33074B71">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本授权书声明：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（被授权人的姓名）为我方就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项目（项目编号：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）采购活动的合法代理人，以本公司名义全权处理一切与该项目采购投标、合同签订等有关的事务。</w:t>
      </w:r>
    </w:p>
    <w:p w14:paraId="33074B72">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本授权书于______年____月____日起生效，特此声明。</w:t>
      </w:r>
    </w:p>
    <w:p w14:paraId="33074B73">
      <w:pPr>
        <w:pStyle w:val="52"/>
        <w:spacing w:line="360" w:lineRule="auto"/>
        <w:ind w:firstLine="480"/>
        <w:rPr>
          <w:rFonts w:ascii="宋体" w:hAnsi="宋体" w:cs="宋体"/>
          <w:color w:val="auto"/>
          <w:sz w:val="24"/>
          <w:szCs w:val="24"/>
          <w:highlight w:val="none"/>
        </w:rPr>
      </w:pPr>
      <w:r>
        <w:rPr>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1849120</wp:posOffset>
                </wp:positionH>
                <wp:positionV relativeFrom="paragraph">
                  <wp:posOffset>209550</wp:posOffset>
                </wp:positionV>
                <wp:extent cx="1897380" cy="635"/>
                <wp:effectExtent l="0" t="0" r="0" b="0"/>
                <wp:wrapNone/>
                <wp:docPr id="10" name="直线 14"/>
                <wp:cNvGraphicFramePr/>
                <a:graphic xmlns:a="http://schemas.openxmlformats.org/drawingml/2006/main">
                  <a:graphicData uri="http://schemas.microsoft.com/office/word/2010/wordprocessingShape">
                    <wps:wsp>
                      <wps:cNvCnPr/>
                      <wps:spPr>
                        <a:xfrm>
                          <a:off x="0" y="0"/>
                          <a:ext cx="189738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4" o:spid="_x0000_s1026" o:spt="20" style="position:absolute;left:0pt;margin-left:145.6pt;margin-top:16.5pt;height:0.05pt;width:149.4pt;z-index:251667456;mso-width-relative:page;mso-height-relative:page;" filled="f" stroked="t" coordsize="21600,21600" o:gfxdata="UEsDBAoAAAAAAIdO4kAAAAAAAAAAAAAAAAAEAAAAZHJzL1BLAwQUAAAACACHTuJAYJCYTNcAAAAJ&#10;AQAADwAAAGRycy9kb3ducmV2LnhtbE2PzU7DQAyE70i8w8pIXKp2N4lAbcimByA3LrQgrm5ikois&#10;N81uf+DpcU9wsz2j8TfF+uwGdaQp9J4tJAsDirj2Tc+thbdtNV+CChG5wcEzWfimAOvy+qrAvPEn&#10;fqXjJrZKQjjkaKGLccy1DnVHDsPCj8SiffrJYZR1anUz4UnC3aBTY+61w57lQ4cjPXZUf20OzkKo&#10;3mlf/czqmfnIWk/p/unlGa29vUnMA6hI5/hnhgu+oEMpTDt/4CaowUK6SlKxWsgy6SSGu5WRYXc5&#10;JKDLQv9vUP4CUEsDBBQAAAAIAIdO4kAQWU7u4gEAANMDAAAOAAAAZHJzL2Uyb0RvYy54bWytU0ty&#10;EzEQ3VPFHVTa47EdHJwpj7OICRsKXBU4QFvSeFSlX6kVj30WrsGKDcfJNWhpBgfCxgtmoWm1up/6&#10;vW6tbo/WsIOKqL1r+Gwy5Uw54aV2+4Z//XL/ZskZJnASjHeq4SeF/Hb9+tWqD7Wa+84bqSIjEId1&#10;HxrepRTqqkLRKQs48UE5Omx9tJBoG/eVjNATujXVfDq9rnofZYheKETyboZDPiLGSwB922qhNl48&#10;WuXSgBqVgUSUsNMB+bpU27ZKpM9tiyox03BimspKl5C9y2u1XkG9jxA6LcYS4JISXnCyoB1deoba&#10;QAL2GPU/UFaL6NG3aSK8rQYiRRFiMZu+0Oahg6AKF5Iaw1l0/H+w4tNhG5mWNAkkiQNLHX/69v3p&#10;x082e5vV6QPWFHTntnHcYdjGTPXYRpv/RIIdi6Kns6LqmJgg52x58+5qSciCzq6vFhmxek4NEdMH&#10;5S3LRsONdpku1HD4iGkI/R2S3caxvuE3i/mCAIFmr6Wek2kD1Y9uX3LRGy3vtTE5A+N+d2ciO0Du&#10;f/nGEv4Ky5dsALshrhzlMKg7BfK9kyydAgnj6EHwXIJVkjOj6P1kq0Qm0OaSSGJvHImQdR2UzNbO&#10;y1MRuPip10WmcS7zMP25L9nPb3H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CQmEzXAAAACQEA&#10;AA8AAAAAAAAAAQAgAAAAIgAAAGRycy9kb3ducmV2LnhtbFBLAQIUABQAAAAIAIdO4kAQWU7u4gEA&#10;ANMDAAAOAAAAAAAAAAEAIAAAACYBAABkcnMvZTJvRG9jLnhtbFBLBQYAAAAABgAGAFkBAAB6BQAA&#10;AAA=&#10;">
                <v:fill on="f" focussize="0,0"/>
                <v:stroke color="#000000" joinstyle="round"/>
                <v:imagedata o:title=""/>
                <o:lock v:ext="edit" aspectratio="f"/>
              </v:line>
            </w:pict>
          </mc:Fallback>
        </mc:AlternateContent>
      </w:r>
      <w:r>
        <w:rPr>
          <w:rFonts w:hint="eastAsia" w:ascii="宋体" w:hAnsi="宋体" w:cs="宋体"/>
          <w:color w:val="auto"/>
          <w:sz w:val="24"/>
          <w:szCs w:val="24"/>
          <w:highlight w:val="none"/>
        </w:rPr>
        <w:t xml:space="preserve">代理人（被授权人）：                         </w:t>
      </w:r>
    </w:p>
    <w:p w14:paraId="33074B74">
      <w:pPr>
        <w:pStyle w:val="52"/>
        <w:spacing w:line="360" w:lineRule="auto"/>
        <w:ind w:firstLine="480"/>
        <w:rPr>
          <w:rFonts w:ascii="宋体" w:hAnsi="宋体" w:cs="宋体"/>
          <w:color w:val="auto"/>
          <w:sz w:val="24"/>
          <w:szCs w:val="24"/>
          <w:highlight w:val="none"/>
          <w:u w:val="single"/>
        </w:rPr>
      </w:pPr>
      <w:r>
        <w:rPr>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1228725</wp:posOffset>
                </wp:positionH>
                <wp:positionV relativeFrom="paragraph">
                  <wp:posOffset>142240</wp:posOffset>
                </wp:positionV>
                <wp:extent cx="2381250" cy="635"/>
                <wp:effectExtent l="0" t="0" r="0" b="0"/>
                <wp:wrapNone/>
                <wp:docPr id="8" name="直线 11"/>
                <wp:cNvGraphicFramePr/>
                <a:graphic xmlns:a="http://schemas.openxmlformats.org/drawingml/2006/main">
                  <a:graphicData uri="http://schemas.microsoft.com/office/word/2010/wordprocessingShape">
                    <wps:wsp>
                      <wps:cNvCnPr/>
                      <wps:spPr>
                        <a:xfrm>
                          <a:off x="0" y="0"/>
                          <a:ext cx="238125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96.75pt;margin-top:11.2pt;height:0.05pt;width:187.5pt;z-index:251665408;mso-width-relative:page;mso-height-relative:page;" filled="f" stroked="t" coordsize="21600,21600" o:gfxdata="UEsDBAoAAAAAAIdO4kAAAAAAAAAAAAAAAAAEAAAAZHJzL1BLAwQUAAAACACHTuJAmyGzxdYAAAAJ&#10;AQAADwAAAGRycy9kb3ducmV2LnhtbE2PvU7DQBCEeyTe4bRINFFyjoOjYHxOAbijIRDRbnyLbeHb&#10;c3yXH3h6NhWUM/tpdqZYn12vjjSGzrOB+SwBRVx723Fj4P2tmq5AhYhssfdMBr4pwLq8viowt/7E&#10;r3TcxEZJCIccDbQxDrnWoW7JYZj5gVhun350GEWOjbYjniTc9TpNkqV22LF8aHGgx5bqr83BGQjV&#10;lvbVz6SeJB+LxlO6f3p5RmNub+bJA6hI5/gHw6W+VIdSOu38gW1Qvej7RSaogTS9AyVAtlyJsbsY&#10;Geiy0P8XlL9QSwMEFAAAAAgAh07iQKsxi/bgAQAA0gMAAA4AAABkcnMvZTJvRG9jLnhtbK1TS27b&#10;MBDdF+gdCO5r2QocpILlLOKmm6I10PYAY5KSCPAHDmPZZ+k1uuqmx8k1OqRcp002XkQLajifx3lv&#10;yNXtwRq2VxG1dy1fzOacKSe81K5v+fdv9+9uOMMEToLxTrX8qJDfrt++WY2hUbUfvJEqMgJx2Iyh&#10;5UNKoakqFIOygDMflKNg56OFRNvYVzLCSOjWVPV8fl2NPsoQvVCI5N1MQX5CjJcA+q7TQm28eLDK&#10;pQk1KgOJKOGgA/J16bbrlEhfug5VYqblxDSVlQ4he5fXar2Cpo8QBi1OLcAlLTzjZEE7OvQMtYEE&#10;7CHqF1BWi+jRd2kmvK0mIkURYrGYP9Pm6wBBFS4kNYaz6Ph6sOLzfhuZli2nsTuwNPDHHz8ff/1m&#10;i0UWZwzYUM6d28bTDsM2ZqaHLtr8Jw7sUAQ9ngVVh8QEOeurm0W9JK0Fxa6vlhmxeioNEdNH5S3L&#10;RsuNdpktNLD/hGlK/ZuS3caxseXvl/WSAIGuXkcjJ9MGah9dX2rRGy3vtTG5AmO/uzOR7SGPv3yn&#10;Fv5Ly4dsAIcpr4RyGjSDAvnBSZaOgYRx9B54bsEqyZlR9HyyVTITaHNJJrE3jkTIuk5KZmvn5bEI&#10;XPw06iLT6Vrmu/TvvlQ/PcX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shs8XWAAAACQEAAA8A&#10;AAAAAAAAAQAgAAAAIgAAAGRycy9kb3ducmV2LnhtbFBLAQIUABQAAAAIAIdO4kCrMYv24AEAANID&#10;AAAOAAAAAAAAAAEAIAAAACUBAABkcnMvZTJvRG9jLnhtbFBLBQYAAAAABgAGAFkBAAB3BQAAAAA=&#10;">
                <v:fill on="f" focussize="0,0"/>
                <v:stroke color="#000000" joinstyle="round"/>
                <v:imagedata o:title=""/>
                <o:lock v:ext="edit" aspectratio="f"/>
              </v:line>
            </w:pict>
          </mc:Fallback>
        </mc:AlternateContent>
      </w:r>
      <w:r>
        <w:rPr>
          <w:rFonts w:hint="eastAsia" w:ascii="宋体" w:hAnsi="宋体" w:cs="宋体"/>
          <w:color w:val="auto"/>
          <w:sz w:val="24"/>
          <w:szCs w:val="24"/>
          <w:highlight w:val="none"/>
        </w:rPr>
        <w:t xml:space="preserve">身份证号码：                               </w:t>
      </w:r>
    </w:p>
    <w:p w14:paraId="33074B75">
      <w:pPr>
        <w:pStyle w:val="52"/>
        <w:spacing w:line="360" w:lineRule="auto"/>
        <w:ind w:firstLine="480"/>
        <w:rPr>
          <w:rFonts w:ascii="宋体" w:hAnsi="宋体" w:cs="宋体"/>
          <w:color w:val="auto"/>
          <w:sz w:val="24"/>
          <w:szCs w:val="24"/>
          <w:highlight w:val="none"/>
        </w:rPr>
      </w:pPr>
      <w:r>
        <w:rPr>
          <w:color w:val="auto"/>
          <w:sz w:val="24"/>
          <w:highlight w:val="none"/>
        </w:rPr>
        <mc:AlternateContent>
          <mc:Choice Requires="wps">
            <w:drawing>
              <wp:anchor distT="0" distB="0" distL="114300" distR="114300" simplePos="0" relativeHeight="251666432" behindDoc="0" locked="0" layoutInCell="1" allowOverlap="1">
                <wp:simplePos x="0" y="0"/>
                <wp:positionH relativeFrom="column">
                  <wp:posOffset>1664970</wp:posOffset>
                </wp:positionH>
                <wp:positionV relativeFrom="paragraph">
                  <wp:posOffset>170815</wp:posOffset>
                </wp:positionV>
                <wp:extent cx="1897380" cy="635"/>
                <wp:effectExtent l="0" t="0" r="0" b="0"/>
                <wp:wrapNone/>
                <wp:docPr id="9" name="直线 13"/>
                <wp:cNvGraphicFramePr/>
                <a:graphic xmlns:a="http://schemas.openxmlformats.org/drawingml/2006/main">
                  <a:graphicData uri="http://schemas.microsoft.com/office/word/2010/wordprocessingShape">
                    <wps:wsp>
                      <wps:cNvCnPr/>
                      <wps:spPr>
                        <a:xfrm>
                          <a:off x="0" y="0"/>
                          <a:ext cx="189738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131.1pt;margin-top:13.45pt;height:0.05pt;width:149.4pt;z-index:251666432;mso-width-relative:page;mso-height-relative:page;" filled="f" stroked="t" coordsize="21600,21600" o:gfxdata="UEsDBAoAAAAAAIdO4kAAAAAAAAAAAAAAAAAEAAAAZHJzL1BLAwQUAAAACACHTuJAM/rRQtcAAAAJ&#10;AQAADwAAAGRycy9kb3ducmV2LnhtbE2PzU7DMBCE70i8g7VIXKrWjhEphDg9ALlxoYC4uvGSRMTr&#10;NHZ/4OnZnsptd2c0+025OvpB7HGKfSAD2UKBQGqC66k18P5Wz+9AxGTJ2SEQGvjBCKvq8qK0hQsH&#10;esX9OrWCQygW1kCX0lhIGZsOvY2LMCKx9hUmbxOvUyvdZA8c7geplcqltz3xh86O+Nhh873eeQOx&#10;/sBt/TtrZurzpg2ot08vz9aY66tMPYBIeExnM5zwGR0qZtqEHbkoBgM615qtp+EeBBtu84zLbfiw&#10;VCCrUv5vUP0BUEsDBBQAAAAIAIdO4kA18IMB4AEAANIDAAAOAAAAZHJzL2Uyb0RvYy54bWytU0uO&#10;EzEQ3SNxB8t70vkoQ6aVziwmDBsEkYADVGx32pJ/cnnSyVm4Bis2HGeuQdndZGDYZEEv3OX6PNd7&#10;Za/vTtawo4qovWv4bDLlTDnhpXaHhn/98vBmxRkmcBKMd6rhZ4X8bvP61boPtZr7zhupIiMQh3Uf&#10;Gt6lFOqqQtEpCzjxQTkKtj5aSLSNh0pG6Andmmo+nd5UvY8yRC8UInm3Q5CPiPEaQN+2WqitF49W&#10;uTSgRmUgESXsdEC+Kd22rRLpU9uiSsw0nJimstIhZO/zWm3WUB8ihE6LsQW4poUXnCxoR4deoLaQ&#10;gD1G/Q+U1SJ69G2aCG+rgUhRhFjMpi+0+dxBUIULSY3hIjr+P1jx8biLTMuG33LmwNLAn759f/rx&#10;k80WWZw+YE05924Xxx2GXcxMT220+U8c2KkIer4Iqk6JCXLOVrdvFyvSWlDsZrHMiNVzaYiY3itv&#10;WTYabrTLbKGG4wdMQ+rvlOw2jvXU53K+JECgq9fSyMm0gdpHdyi16I2WD9qYXIHxsL83kR0hj798&#10;Ywt/peVDtoDdkFdCOQ3qToF85yRL50DCOHoPPLdgleTMKHo+2SqZCbS5JpPYG0ciZF0HJbO19/Jc&#10;BC5+GnWRabyW+S79uS/Vz09x8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z+tFC1wAAAAkBAAAP&#10;AAAAAAAAAAEAIAAAACIAAABkcnMvZG93bnJldi54bWxQSwECFAAUAAAACACHTuJANfCDAeABAADS&#10;AwAADgAAAAAAAAABACAAAAAmAQAAZHJzL2Uyb0RvYy54bWxQSwUGAAAAAAYABgBZAQAAeAUAAAAA&#10;">
                <v:fill on="f" focussize="0,0"/>
                <v:stroke color="#000000" joinstyle="round"/>
                <v:imagedata o:title=""/>
                <o:lock v:ext="edit" aspectratio="f"/>
              </v:line>
            </w:pict>
          </mc:Fallback>
        </mc:AlternateContent>
      </w:r>
      <w:r>
        <w:rPr>
          <w:rFonts w:hint="eastAsia" w:ascii="宋体" w:hAnsi="宋体" w:cs="宋体"/>
          <w:color w:val="auto"/>
          <w:sz w:val="24"/>
          <w:szCs w:val="24"/>
          <w:highlight w:val="none"/>
        </w:rPr>
        <w:t xml:space="preserve">联系电话：（手机）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33074B76">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单位名称：________________________________</w:t>
      </w:r>
    </w:p>
    <w:p w14:paraId="33074B77">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单位地址：________________________________</w:t>
      </w:r>
    </w:p>
    <w:p w14:paraId="33074B78">
      <w:pPr>
        <w:pStyle w:val="52"/>
        <w:spacing w:line="360" w:lineRule="auto"/>
        <w:ind w:firstLine="480"/>
        <w:jc w:val="right"/>
        <w:rPr>
          <w:rFonts w:ascii="宋体" w:hAnsi="宋体" w:cs="宋体"/>
          <w:color w:val="auto"/>
          <w:sz w:val="24"/>
          <w:szCs w:val="24"/>
          <w:highlight w:val="none"/>
        </w:rPr>
      </w:pPr>
    </w:p>
    <w:p w14:paraId="33074B79">
      <w:pPr>
        <w:pStyle w:val="52"/>
        <w:spacing w:line="360" w:lineRule="auto"/>
        <w:ind w:firstLine="480"/>
        <w:rPr>
          <w:rFonts w:ascii="宋体" w:hAnsi="宋体" w:cs="宋体"/>
          <w:color w:val="auto"/>
          <w:sz w:val="24"/>
          <w:szCs w:val="24"/>
          <w:highlight w:val="none"/>
        </w:rPr>
      </w:pPr>
    </w:p>
    <w:p w14:paraId="33074B7A">
      <w:pPr>
        <w:pStyle w:val="52"/>
        <w:spacing w:line="360" w:lineRule="auto"/>
        <w:ind w:firstLine="480"/>
        <w:rPr>
          <w:rFonts w:ascii="宋体" w:hAnsi="宋体" w:cs="宋体"/>
          <w:color w:val="auto"/>
          <w:sz w:val="24"/>
          <w:szCs w:val="24"/>
          <w:highlight w:val="none"/>
        </w:rPr>
      </w:pPr>
    </w:p>
    <w:p w14:paraId="33074B7B">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法定代表人（签字）：</w:t>
      </w:r>
    </w:p>
    <w:p w14:paraId="33074B7C">
      <w:pPr>
        <w:pStyle w:val="52"/>
        <w:spacing w:line="360" w:lineRule="auto"/>
        <w:ind w:firstLine="480"/>
        <w:rPr>
          <w:rFonts w:ascii="宋体" w:hAnsi="宋体" w:cs="宋体"/>
          <w:color w:val="auto"/>
          <w:sz w:val="24"/>
          <w:szCs w:val="24"/>
          <w:highlight w:val="none"/>
        </w:rPr>
      </w:pPr>
    </w:p>
    <w:p w14:paraId="33074B7D">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投标人名称（加盖公章）：</w:t>
      </w:r>
    </w:p>
    <w:p w14:paraId="33074B7E">
      <w:pPr>
        <w:pStyle w:val="52"/>
        <w:spacing w:line="360" w:lineRule="auto"/>
        <w:ind w:firstLine="480"/>
        <w:jc w:val="right"/>
        <w:rPr>
          <w:rFonts w:ascii="宋体" w:hAnsi="宋体" w:cs="宋体"/>
          <w:color w:val="auto"/>
          <w:sz w:val="24"/>
          <w:szCs w:val="24"/>
          <w:highlight w:val="none"/>
        </w:rPr>
      </w:pPr>
    </w:p>
    <w:p w14:paraId="33074B7F">
      <w:pPr>
        <w:pStyle w:val="52"/>
        <w:spacing w:line="360" w:lineRule="auto"/>
        <w:ind w:firstLine="0" w:firstLineChars="0"/>
        <w:rPr>
          <w:rFonts w:ascii="宋体" w:hAnsi="宋体" w:cs="宋体"/>
          <w:color w:val="auto"/>
          <w:sz w:val="24"/>
          <w:szCs w:val="24"/>
          <w:highlight w:val="none"/>
        </w:rPr>
      </w:pPr>
    </w:p>
    <w:p w14:paraId="33074B80">
      <w:pPr>
        <w:pStyle w:val="52"/>
        <w:spacing w:line="360" w:lineRule="auto"/>
        <w:ind w:firstLine="480"/>
        <w:jc w:val="right"/>
        <w:rPr>
          <w:rFonts w:ascii="宋体" w:hAnsi="宋体" w:cs="宋体"/>
          <w:color w:val="auto"/>
          <w:sz w:val="24"/>
          <w:szCs w:val="24"/>
          <w:highlight w:val="none"/>
        </w:rPr>
      </w:pPr>
    </w:p>
    <w:p w14:paraId="33074B81">
      <w:pPr>
        <w:pStyle w:val="52"/>
        <w:spacing w:line="360" w:lineRule="auto"/>
        <w:ind w:firstLine="480"/>
        <w:jc w:val="right"/>
        <w:rPr>
          <w:rFonts w:ascii="宋体" w:hAnsi="宋体" w:cs="宋体"/>
          <w:color w:val="auto"/>
          <w:sz w:val="24"/>
          <w:szCs w:val="24"/>
          <w:highlight w:val="none"/>
        </w:rPr>
      </w:pPr>
    </w:p>
    <w:p w14:paraId="33074B82">
      <w:pPr>
        <w:pStyle w:val="52"/>
        <w:spacing w:line="360" w:lineRule="auto"/>
        <w:ind w:firstLine="480"/>
        <w:jc w:val="right"/>
        <w:rPr>
          <w:rFonts w:ascii="宋体" w:hAnsi="宋体" w:cs="宋体"/>
          <w:color w:val="auto"/>
          <w:sz w:val="24"/>
          <w:szCs w:val="24"/>
          <w:highlight w:val="none"/>
        </w:rPr>
      </w:pPr>
      <w:r>
        <w:rPr>
          <w:rFonts w:hint="eastAsia" w:ascii="宋体" w:hAnsi="宋体" w:cs="宋体"/>
          <w:color w:val="auto"/>
          <w:sz w:val="24"/>
          <w:szCs w:val="24"/>
          <w:highlight w:val="none"/>
        </w:rPr>
        <w:t>日期：     年   月    日</w:t>
      </w:r>
    </w:p>
    <w:p w14:paraId="33074B83">
      <w:pPr>
        <w:pStyle w:val="5"/>
        <w:spacing w:line="360" w:lineRule="auto"/>
        <w:rPr>
          <w:rFonts w:ascii="宋体" w:hAnsi="宋体" w:eastAsia="宋体" w:cs="宋体"/>
          <w:color w:val="auto"/>
          <w:sz w:val="24"/>
          <w:szCs w:val="24"/>
          <w:highlight w:val="none"/>
        </w:rPr>
      </w:pPr>
      <w:bookmarkStart w:id="63" w:name="_Hlt26955070"/>
      <w:bookmarkEnd w:id="63"/>
      <w:bookmarkStart w:id="64" w:name="_Hlt26671380"/>
      <w:bookmarkEnd w:id="64"/>
      <w:bookmarkStart w:id="65" w:name="_格式3__银行出具的资信证明"/>
      <w:bookmarkEnd w:id="65"/>
    </w:p>
    <w:p w14:paraId="33074B84">
      <w:pPr>
        <w:pStyle w:val="3"/>
        <w:spacing w:line="360" w:lineRule="auto"/>
        <w:rPr>
          <w:rFonts w:ascii="宋体" w:hAnsi="宋体" w:eastAsia="宋体" w:cs="宋体"/>
          <w:color w:val="auto"/>
          <w:sz w:val="24"/>
          <w:szCs w:val="24"/>
          <w:highlight w:val="none"/>
        </w:rPr>
      </w:pPr>
    </w:p>
    <w:p w14:paraId="33074B85">
      <w:pPr>
        <w:rPr>
          <w:rFonts w:ascii="宋体" w:hAnsi="宋体" w:eastAsia="宋体" w:cs="宋体"/>
          <w:color w:val="auto"/>
          <w:sz w:val="24"/>
          <w:szCs w:val="24"/>
          <w:highlight w:val="none"/>
        </w:rPr>
      </w:pPr>
    </w:p>
    <w:p w14:paraId="33074B86">
      <w:pPr>
        <w:pStyle w:val="11"/>
        <w:ind w:left="1540" w:right="1540"/>
        <w:rPr>
          <w:rFonts w:ascii="宋体" w:hAnsi="宋体" w:eastAsia="宋体" w:cs="宋体"/>
          <w:color w:val="auto"/>
          <w:sz w:val="24"/>
          <w:szCs w:val="24"/>
          <w:highlight w:val="none"/>
        </w:rPr>
      </w:pPr>
    </w:p>
    <w:p w14:paraId="33074B87">
      <w:pPr>
        <w:pStyle w:val="11"/>
        <w:ind w:left="1540" w:right="1540"/>
        <w:rPr>
          <w:rFonts w:ascii="宋体" w:hAnsi="宋体" w:eastAsia="宋体" w:cs="宋体"/>
          <w:color w:val="auto"/>
          <w:sz w:val="24"/>
          <w:szCs w:val="24"/>
          <w:highlight w:val="none"/>
        </w:rPr>
      </w:pPr>
    </w:p>
    <w:p w14:paraId="33074B88">
      <w:pPr>
        <w:pStyle w:val="11"/>
        <w:ind w:left="1540" w:right="1540"/>
        <w:rPr>
          <w:rFonts w:ascii="宋体" w:hAnsi="宋体" w:eastAsia="宋体" w:cs="宋体"/>
          <w:color w:val="auto"/>
          <w:sz w:val="24"/>
          <w:szCs w:val="24"/>
          <w:highlight w:val="none"/>
        </w:rPr>
      </w:pPr>
    </w:p>
    <w:p w14:paraId="33074B89">
      <w:pPr>
        <w:pStyle w:val="11"/>
        <w:spacing w:after="0"/>
        <w:ind w:left="0" w:leftChars="0" w:right="0" w:rightChars="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附件三</w:t>
      </w:r>
      <w:bookmarkStart w:id="66" w:name="_Toc517190896"/>
    </w:p>
    <w:p w14:paraId="33074B8A">
      <w:pPr>
        <w:pStyle w:val="11"/>
        <w:spacing w:after="0"/>
        <w:ind w:left="0" w:leftChars="0" w:right="0" w:rightChars="0"/>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开标一览表</w:t>
      </w:r>
      <w:bookmarkEnd w:id="66"/>
    </w:p>
    <w:p w14:paraId="33074B8B">
      <w:pPr>
        <w:spacing w:line="360" w:lineRule="auto"/>
        <w:ind w:firstLine="480"/>
        <w:rPr>
          <w:rFonts w:ascii="宋体" w:hAnsi="宋体" w:eastAsia="宋体" w:cs="宋体"/>
          <w:color w:val="auto"/>
          <w:sz w:val="24"/>
          <w:szCs w:val="24"/>
          <w:highlight w:val="none"/>
        </w:rPr>
      </w:pPr>
    </w:p>
    <w:p w14:paraId="33074B8C">
      <w:pPr>
        <w:spacing w:line="36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项目名称：                             项目编号：  </w:t>
      </w:r>
      <w:r>
        <w:rPr>
          <w:rFonts w:hint="eastAsia" w:ascii="宋体" w:hAnsi="宋体" w:eastAsia="宋体" w:cs="宋体"/>
          <w:color w:val="auto"/>
          <w:sz w:val="24"/>
          <w:szCs w:val="24"/>
          <w:highlight w:val="none"/>
        </w:rPr>
        <w:t xml:space="preserve">                       </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14:paraId="3307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4" w:hRule="atLeast"/>
        </w:trPr>
        <w:tc>
          <w:tcPr>
            <w:tcW w:w="2481" w:type="dxa"/>
            <w:vAlign w:val="center"/>
          </w:tcPr>
          <w:p w14:paraId="33074B8D">
            <w:pPr>
              <w:pStyle w:val="8"/>
              <w:adjustRightInd w:val="0"/>
              <w:snapToGrid w:val="0"/>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投标总报价</w:t>
            </w:r>
          </w:p>
        </w:tc>
        <w:tc>
          <w:tcPr>
            <w:tcW w:w="5883" w:type="dxa"/>
            <w:vAlign w:val="center"/>
          </w:tcPr>
          <w:p w14:paraId="33074B8E">
            <w:pPr>
              <w:pStyle w:val="8"/>
              <w:adjustRightInd w:val="0"/>
              <w:snapToGrid w:val="0"/>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大写：人民币</w:t>
            </w:r>
          </w:p>
          <w:p w14:paraId="33074B8F">
            <w:pPr>
              <w:pStyle w:val="8"/>
              <w:adjustRightInd w:val="0"/>
              <w:snapToGrid w:val="0"/>
              <w:spacing w:line="360" w:lineRule="auto"/>
              <w:rPr>
                <w:rFonts w:ascii="宋体" w:hAnsi="宋体" w:eastAsia="宋体" w:cs="宋体"/>
                <w:color w:val="auto"/>
                <w:sz w:val="24"/>
                <w:szCs w:val="24"/>
                <w:highlight w:val="none"/>
              </w:rPr>
            </w:pPr>
          </w:p>
          <w:p w14:paraId="33074B90">
            <w:pPr>
              <w:pStyle w:val="36"/>
              <w:spacing w:before="0" w:after="0"/>
              <w:ind w:firstLine="0"/>
              <w:rPr>
                <w:rFonts w:ascii="宋体" w:hAnsi="宋体" w:cs="宋体"/>
                <w:color w:val="auto"/>
                <w:kern w:val="2"/>
                <w:highlight w:val="none"/>
              </w:rPr>
            </w:pPr>
            <w:r>
              <w:rPr>
                <w:rFonts w:hint="eastAsia" w:ascii="宋体" w:hAnsi="宋体" w:cs="宋体"/>
                <w:color w:val="auto"/>
                <w:highlight w:val="none"/>
              </w:rPr>
              <w:t xml:space="preserve">小写：¥                             </w:t>
            </w:r>
          </w:p>
        </w:tc>
      </w:tr>
      <w:tr w14:paraId="3307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14:paraId="33074B92">
            <w:pPr>
              <w:pStyle w:val="8"/>
              <w:adjustRightInd w:val="0"/>
              <w:snapToGrid w:val="0"/>
              <w:spacing w:line="360" w:lineRule="auto"/>
              <w:ind w:firstLine="241" w:firstLineChars="10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货物品牌及型号</w:t>
            </w:r>
          </w:p>
        </w:tc>
        <w:tc>
          <w:tcPr>
            <w:tcW w:w="5883" w:type="dxa"/>
            <w:vAlign w:val="center"/>
          </w:tcPr>
          <w:p w14:paraId="33074B93">
            <w:pPr>
              <w:pStyle w:val="8"/>
              <w:adjustRightInd w:val="0"/>
              <w:snapToGrid w:val="0"/>
              <w:spacing w:line="360" w:lineRule="auto"/>
              <w:ind w:firstLine="1560" w:firstLineChars="650"/>
              <w:rPr>
                <w:rFonts w:ascii="宋体" w:hAnsi="宋体" w:eastAsia="宋体" w:cs="宋体"/>
                <w:color w:val="auto"/>
                <w:sz w:val="24"/>
                <w:szCs w:val="24"/>
                <w:highlight w:val="none"/>
              </w:rPr>
            </w:pPr>
          </w:p>
        </w:tc>
      </w:tr>
      <w:tr w14:paraId="3307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2481" w:type="dxa"/>
            <w:vAlign w:val="bottom"/>
          </w:tcPr>
          <w:p w14:paraId="33074B95">
            <w:pPr>
              <w:pStyle w:val="8"/>
              <w:adjustRightInd w:val="0"/>
              <w:snapToGrid w:val="0"/>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质保期限</w:t>
            </w:r>
          </w:p>
        </w:tc>
        <w:tc>
          <w:tcPr>
            <w:tcW w:w="5883" w:type="dxa"/>
            <w:vAlign w:val="center"/>
          </w:tcPr>
          <w:p w14:paraId="33074B96">
            <w:pPr>
              <w:pStyle w:val="8"/>
              <w:adjustRightInd w:val="0"/>
              <w:snapToGrid w:val="0"/>
              <w:spacing w:line="360" w:lineRule="auto"/>
              <w:ind w:firstLine="1560" w:firstLineChars="650"/>
              <w:rPr>
                <w:rFonts w:ascii="宋体" w:hAnsi="宋体" w:eastAsia="宋体" w:cs="宋体"/>
                <w:color w:val="auto"/>
                <w:sz w:val="24"/>
                <w:szCs w:val="24"/>
                <w:highlight w:val="none"/>
              </w:rPr>
            </w:pPr>
          </w:p>
        </w:tc>
      </w:tr>
      <w:tr w14:paraId="330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33074B98">
            <w:pPr>
              <w:pStyle w:val="8"/>
              <w:adjustRightInd w:val="0"/>
              <w:snapToGrid w:val="0"/>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是否中小企业</w:t>
            </w:r>
          </w:p>
        </w:tc>
        <w:tc>
          <w:tcPr>
            <w:tcW w:w="5883" w:type="dxa"/>
            <w:vAlign w:val="center"/>
          </w:tcPr>
          <w:p w14:paraId="33074B99">
            <w:pPr>
              <w:pStyle w:val="8"/>
              <w:adjustRightInd w:val="0"/>
              <w:snapToGrid w:val="0"/>
              <w:spacing w:line="360" w:lineRule="auto"/>
              <w:ind w:firstLine="480" w:firstLineChars="200"/>
              <w:rPr>
                <w:rFonts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8480" behindDoc="0" locked="0" layoutInCell="1" allowOverlap="1">
                      <wp:simplePos x="0" y="0"/>
                      <wp:positionH relativeFrom="column">
                        <wp:posOffset>27940</wp:posOffset>
                      </wp:positionH>
                      <wp:positionV relativeFrom="paragraph">
                        <wp:posOffset>5080</wp:posOffset>
                      </wp:positionV>
                      <wp:extent cx="203200" cy="209550"/>
                      <wp:effectExtent l="4445" t="4445" r="20955" b="14605"/>
                      <wp:wrapNone/>
                      <wp:docPr id="11" name="矩形 15"/>
                      <wp:cNvGraphicFramePr/>
                      <a:graphic xmlns:a="http://schemas.openxmlformats.org/drawingml/2006/main">
                        <a:graphicData uri="http://schemas.microsoft.com/office/word/2010/wordprocessingShape">
                          <wps:wsp>
                            <wps:cNvSpPr/>
                            <wps:spPr>
                              <a:xfrm>
                                <a:off x="0" y="0"/>
                                <a:ext cx="203200" cy="2095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15" o:spid="_x0000_s1026" o:spt="1" style="position:absolute;left:0pt;margin-left:2.2pt;margin-top:0.4pt;height:16.5pt;width:16pt;z-index:251668480;mso-width-relative:page;mso-height-relative:page;" fillcolor="#FFFFFF" filled="t" stroked="t" coordsize="21600,21600" o:gfxdata="UEsDBAoAAAAAAIdO4kAAAAAAAAAAAAAAAAAEAAAAZHJzL1BLAwQUAAAACACHTuJAt1jdZ9IAAAAE&#10;AQAADwAAAGRycy9kb3ducmV2LnhtbE2OsU7DQBBEeyT+4bRIdOScOIqC8TkFKEiUidOkW/sW2+Db&#10;s3znxPD1LBVUo9GMZl6+m12vLjSGzrOB5SIBRVx723Fj4FTuH7agQkS22HsmA18UYFfc3uSYWX/l&#10;A12OsVEywiFDA22MQ6Z1qFtyGBZ+IJbs3Y8Oo9ix0XbEq4y7Xq+SZKMddiwPLQ703FL9eZycgapb&#10;nfD7UL4m7nGfxre5/JjOL8bc3y2TJ1CR5vhXhl98QYdCmCo/sQ2qN7BeS9GA4EuYbsRVoukWdJHr&#10;//DFD1BLAwQUAAAACACHTuJAehzOqv0BAAAfBAAADgAAAGRycy9lMm9Eb2MueG1srVNLjhMxEN0j&#10;cQfLe9KdoCCmlc4sCGGDYKRhDlCx3d2W/JPLSSenQWLHITgO4hqUnZD5MIssphfd5Xb51Xuvyovr&#10;vTVspyJq71o+ndScKSe81K5v+d239Zv3nGECJ8F4p1p+UMivl69fLcbQqJkfvJEqMgJx2Iyh5UNK&#10;oakqFIOygBMflKPNzkcLiZaxr2SEkdCtqWZ1/a4afZQheqEQ6e/quMlPiPESQN91WqiVF1urXDqi&#10;RmUgkSQcdEC+LGy7Ton0tetQJWZaTkpTeVMRijf5XS0X0PQRwqDFiQJcQuGJJgvaUdEz1AoSsG3U&#10;/0FZLaJH36WJ8LY6CimOkIpp/cSb2wGCKlrIagxn0/HlYMWX3U1kWtIkTDlzYKnjf77//P3rB5vO&#10;sztjwIaSbsNNPK2Qwix130WbvySC7Yujh7Ojap+YoJ+z+i31nDNBW7P6aj4vjlf3h0PE9El5y3LQ&#10;8kgNKz7C7jMmKkip/1JyLfRGy7U2pixiv/lgItsBNXddnsyYjjxKM46NLb+az+bEA2hiO5oUCm0g&#10;1ej6Uu/RCXwIXJfnOeBMbAU4HAkUhJwGjdVJZbegGRTIj06ydAhkrKMLxTMZqyRnRtH9y1HJTKDN&#10;JZmkzjgSmfty7ESONl4eqI/bEHU/kI/Twjfv0NwUS04zngfz4bog3d/r5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3WN1n0gAAAAQBAAAPAAAAAAAAAAEAIAAAACIAAABkcnMvZG93bnJldi54bWxQ&#10;SwECFAAUAAAACACHTuJAehzOqv0BAAAfBAAADgAAAAAAAAABACAAAAAhAQAAZHJzL2Uyb0RvYy54&#10;bWxQSwUGAAAAAAYABgBZAQAAkAUAAAAA&#10;">
                      <v:fill on="t" focussize="0,0"/>
                      <v:stroke color="#000000" joinstyle="miter"/>
                      <v:imagedata o:title=""/>
                      <o:lock v:ext="edit" aspectratio="f"/>
                    </v:rect>
                  </w:pict>
                </mc:Fallback>
              </mc:AlternateContent>
            </w:r>
            <w:r>
              <w:rPr>
                <w:rFonts w:hint="eastAsia" w:ascii="宋体" w:hAnsi="宋体" w:eastAsia="宋体" w:cs="宋体"/>
                <w:color w:val="auto"/>
                <w:sz w:val="24"/>
                <w:szCs w:val="24"/>
                <w:highlight w:val="none"/>
              </w:rPr>
              <w:t xml:space="preserve">是（需提供中小企业声明函）   </w:t>
            </w:r>
          </w:p>
          <w:p w14:paraId="33074B9A">
            <w:pPr>
              <w:pStyle w:val="8"/>
              <w:adjustRightInd w:val="0"/>
              <w:snapToGrid w:val="0"/>
              <w:spacing w:line="360" w:lineRule="auto"/>
              <w:ind w:firstLine="480" w:firstLineChars="200"/>
              <w:rPr>
                <w:rFonts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9504" behindDoc="0" locked="0" layoutInCell="1" allowOverlap="1">
                      <wp:simplePos x="0" y="0"/>
                      <wp:positionH relativeFrom="column">
                        <wp:posOffset>21590</wp:posOffset>
                      </wp:positionH>
                      <wp:positionV relativeFrom="paragraph">
                        <wp:posOffset>7620</wp:posOffset>
                      </wp:positionV>
                      <wp:extent cx="203200" cy="209550"/>
                      <wp:effectExtent l="4445" t="4445" r="20955" b="14605"/>
                      <wp:wrapNone/>
                      <wp:docPr id="12" name="矩形 16"/>
                      <wp:cNvGraphicFramePr/>
                      <a:graphic xmlns:a="http://schemas.openxmlformats.org/drawingml/2006/main">
                        <a:graphicData uri="http://schemas.microsoft.com/office/word/2010/wordprocessingShape">
                          <wps:wsp>
                            <wps:cNvSpPr/>
                            <wps:spPr>
                              <a:xfrm>
                                <a:off x="0" y="0"/>
                                <a:ext cx="203200" cy="2095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16" o:spid="_x0000_s1026" o:spt="1" style="position:absolute;left:0pt;margin-left:1.7pt;margin-top:0.6pt;height:16.5pt;width:16pt;z-index:251669504;mso-width-relative:page;mso-height-relative:page;" fillcolor="#FFFFFF" filled="t" stroked="t" coordsize="21600,21600" o:gfxdata="UEsDBAoAAAAAAIdO4kAAAAAAAAAAAAAAAAAEAAAAZHJzL1BLAwQUAAAACACHTuJAuP8aK9EAAAAF&#10;AQAADwAAAGRycy9kb3ducmV2LnhtbE2OT0+DQBDF7yZ+h82YeLNLQY0iSw+amnhs6cXbwI6AsrOE&#10;XVr00zs96fH9yXu/YrO4QR1pCr1nA+tVAoq48bbn1sCh2t48gAoR2eLgmQx8U4BNeXlRYG79iXd0&#10;3MdWyQiHHA10MY651qHpyGFY+ZFYsg8/OYwip1bbCU8y7gadJsm9dtizPHQ40nNHzdd+dgbqPj3g&#10;z656TdzjNotvS/U5v78Yc321Tp5ARVriXxnO+IIOpTDVfmYb1GAgu5Wi2CkoSbM7kfXZTUGXhf5P&#10;X/4CUEsDBBQAAAAIAIdO4kApIMd5/QEAAB8EAAAOAAAAZHJzL2Uyb0RvYy54bWytU82O0zAQviPx&#10;DpbvNGlQV2y06R4o5YJgpYUHmNpOYsl/8rhN+zRI3HgIHgfxGozd0v2BQw/kkIzj8Tff98345nZv&#10;DdupiNq7js9nNWfKCS+1Gzr+5fP61RvOMIGTYLxTHT8o5LfLly9uptCqxo/eSBUZgThsp9DxMaXQ&#10;VhWKUVnAmQ/K0Wbvo4VEyzhUMsJE6NZUTV1fVZOPMkQvFCL9XR03+QkxXgLo+14LtfJia5VLR9So&#10;DCSShKMOyJeFbd8rkT71ParETMdJaSpvKkLxJr+r5Q20Q4QwanGiAJdQeKbJgnZU9Ay1ggRsG/Vf&#10;UFaL6NH3aSa8rY5CiiOkYl4/8+Z+hKCKFrIaw9l0/H+w4uPuLjItaRIazhxY6vivr99//vjG5lfZ&#10;nSlgS0n34S6eVkhhlrrvo81fEsH2xdHD2VG1T0zQz6Z+TT3nTNBWU18vFsXx6uFwiJjeK29ZDjoe&#10;qWHFR9h9wEQFKfVPSq6F3mi51saURRw2b01kO6DmrsuTGdORJ2nGsanj14tmQTyAJranSaHQBlKN&#10;bij1npzAx8B1ef4FnImtAMcjgYKQ06C1OqnsFrSjAvnOSZYOgYx1dKF4JmOV5Mwoun85KpkJtLkk&#10;k9QZRyJzX46dyNHGywP1cRuiHkbycV745h2am2LJacbzYD5eF6SHe73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j/GivRAAAABQEAAA8AAAAAAAAAAQAgAAAAIgAAAGRycy9kb3ducmV2LnhtbFBL&#10;AQIUABQAAAAIAIdO4kApIMd5/QEAAB8EAAAOAAAAAAAAAAEAIAAAACABAABkcnMvZTJvRG9jLnht&#10;bFBLBQYAAAAABgAGAFkBAACPBQAAAAA=&#10;">
                      <v:fill on="t" focussize="0,0"/>
                      <v:stroke color="#000000" joinstyle="miter"/>
                      <v:imagedata o:title=""/>
                      <o:lock v:ext="edit" aspectratio="f"/>
                    </v:rect>
                  </w:pict>
                </mc:Fallback>
              </mc:AlternateContent>
            </w:r>
            <w:r>
              <w:rPr>
                <w:rFonts w:hint="eastAsia" w:ascii="宋体" w:hAnsi="宋体" w:eastAsia="宋体" w:cs="宋体"/>
                <w:color w:val="auto"/>
                <w:sz w:val="24"/>
                <w:szCs w:val="24"/>
                <w:highlight w:val="none"/>
              </w:rPr>
              <w:t>否</w:t>
            </w:r>
          </w:p>
        </w:tc>
      </w:tr>
      <w:tr w14:paraId="3307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33074B9C">
            <w:pPr>
              <w:pStyle w:val="8"/>
              <w:adjustRightInd w:val="0"/>
              <w:snapToGrid w:val="0"/>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是否进口设备</w:t>
            </w:r>
          </w:p>
        </w:tc>
        <w:tc>
          <w:tcPr>
            <w:tcW w:w="5883" w:type="dxa"/>
            <w:vAlign w:val="center"/>
          </w:tcPr>
          <w:p w14:paraId="33074B9D">
            <w:pPr>
              <w:pStyle w:val="8"/>
              <w:adjustRightInd w:val="0"/>
              <w:snapToGrid w:val="0"/>
              <w:spacing w:line="360" w:lineRule="auto"/>
              <w:ind w:firstLine="480" w:firstLineChars="200"/>
              <w:rPr>
                <w:rFonts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70528" behindDoc="0" locked="0" layoutInCell="1" allowOverlap="1">
                      <wp:simplePos x="0" y="0"/>
                      <wp:positionH relativeFrom="column">
                        <wp:posOffset>40640</wp:posOffset>
                      </wp:positionH>
                      <wp:positionV relativeFrom="paragraph">
                        <wp:posOffset>15875</wp:posOffset>
                      </wp:positionV>
                      <wp:extent cx="203200" cy="209550"/>
                      <wp:effectExtent l="4445" t="4445" r="20955" b="14605"/>
                      <wp:wrapNone/>
                      <wp:docPr id="13" name="矩形 17"/>
                      <wp:cNvGraphicFramePr/>
                      <a:graphic xmlns:a="http://schemas.openxmlformats.org/drawingml/2006/main">
                        <a:graphicData uri="http://schemas.microsoft.com/office/word/2010/wordprocessingShape">
                          <wps:wsp>
                            <wps:cNvSpPr/>
                            <wps:spPr>
                              <a:xfrm>
                                <a:off x="0" y="0"/>
                                <a:ext cx="203200" cy="2095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17" o:spid="_x0000_s1026" o:spt="1" style="position:absolute;left:0pt;margin-left:3.2pt;margin-top:1.25pt;height:16.5pt;width:16pt;z-index:251670528;mso-width-relative:page;mso-height-relative:page;" fillcolor="#FFFFFF" filled="t" stroked="t" coordsize="21600,21600" o:gfxdata="UEsDBAoAAAAAAIdO4kAAAAAAAAAAAAAAAAAEAAAAZHJzL1BLAwQUAAAACACHTuJAJ5MK6dQAAAAF&#10;AQAADwAAAGRycy9kb3ducmV2LnhtbE2OMU/DMBSEdyT+g/WQ2KjdlFQljdMBVCTGNl3YnPiRpMTP&#10;Uey0gV/PY4LpdLrT3ZfvZteLC46h86RhuVAgkGpvO2o0nMr9wwZEiIas6T2hhi8MsCtub3KTWX+l&#10;A16OsRE8QiEzGtoYh0zKULfoTFj4AYmzDz86E9mOjbSjufK462Wi1Fo60xE/tGbA5xbrz+PkNFRd&#10;cjLfh/JVuaf9Kr7N5Xl6f9H6/m6ptiAizvGvDL/4jA4FM1V+IhtEr2H9yEUNSQqC09WGbcWapiCL&#10;XP6nL34AUEsDBBQAAAAIAIdO4kAnNu+B/QEAAB8EAAAOAAAAZHJzL2Uyb0RvYy54bWytU0uOEzEQ&#10;3SNxB8t70p2MAkwrnVkQwgbBSDMcoGK7uy35J5eTTk6DxI5DcBzENSg7IfOBRRb0orvcLr9671V5&#10;cbO3hu1URO1dy6eTmjPlhJfa9S3/cr9+9ZYzTOAkGO9Uyw8K+c3y5YvFGBo184M3UkVGIA6bMbR8&#10;SCk0VYViUBZw4oNytNn5aCHRMvaVjDASujXVrK5fV6OPMkQvFCL9XR03+QkxXgLou04LtfJia5VL&#10;R9SoDCSShIMOyJeFbdcpkT53HarETMtJaSpvKkLxJr+r5QKaPkIYtDhRgEsoPNNkQTsqeoZaQQK2&#10;jfovKKtF9Oi7NBHeVkchxRFSMa2feXM3QFBFC1mN4Ww6/j9Y8Wl3G5mWNAlXnDmw1PFfX7///PGN&#10;Td9kd8aADSXdhdt4WiGFWeq+izZ/SQTbF0cPZ0fVPjFBP2f1FfWcM0Fbs/p6Pi+OVw+HQ8T0QXnL&#10;ctDySA0rPsLuIyYqSKl/UnIt9EbLtTamLGK/eWci2wE1d12ezJiOPEkzjo0tv57P5sQDaGI7mhQK&#10;bSDV6PpS78kJfAxcl+dfwJnYCnA4EigIOQ0aq5PKbkEzKJDvnWTpEMhYRxeKZzJWSc6MovuXo5KZ&#10;QJtLMkmdcSQy9+XYiRxtvDxQH7ch6n4gH6eFb96huSmWnGY8D+bjdUF6uNf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eTCunUAAAABQEAAA8AAAAAAAAAAQAgAAAAIgAAAGRycy9kb3ducmV2Lnht&#10;bFBLAQIUABQAAAAIAIdO4kAnNu+B/QEAAB8EAAAOAAAAAAAAAAEAIAAAACMBAABkcnMvZTJvRG9j&#10;LnhtbFBLBQYAAAAABgAGAFkBAACSBQAAAAA=&#10;">
                      <v:fill on="t" focussize="0,0"/>
                      <v:stroke color="#000000" joinstyle="miter"/>
                      <v:imagedata o:title=""/>
                      <o:lock v:ext="edit" aspectratio="f"/>
                    </v:rect>
                  </w:pict>
                </mc:Fallback>
              </mc:AlternateContent>
            </w:r>
            <w:r>
              <w:rPr>
                <w:color w:val="auto"/>
                <w:sz w:val="24"/>
                <w:highlight w:val="none"/>
              </w:rPr>
              <mc:AlternateContent>
                <mc:Choice Requires="wps">
                  <w:drawing>
                    <wp:anchor distT="0" distB="0" distL="114300" distR="114300" simplePos="0" relativeHeight="251671552" behindDoc="0" locked="0" layoutInCell="1" allowOverlap="1">
                      <wp:simplePos x="0" y="0"/>
                      <wp:positionH relativeFrom="column">
                        <wp:posOffset>40640</wp:posOffset>
                      </wp:positionH>
                      <wp:positionV relativeFrom="paragraph">
                        <wp:posOffset>295275</wp:posOffset>
                      </wp:positionV>
                      <wp:extent cx="203200" cy="209550"/>
                      <wp:effectExtent l="4445" t="4445" r="20955" b="14605"/>
                      <wp:wrapNone/>
                      <wp:docPr id="14" name="矩形 18"/>
                      <wp:cNvGraphicFramePr/>
                      <a:graphic xmlns:a="http://schemas.openxmlformats.org/drawingml/2006/main">
                        <a:graphicData uri="http://schemas.microsoft.com/office/word/2010/wordprocessingShape">
                          <wps:wsp>
                            <wps:cNvSpPr/>
                            <wps:spPr>
                              <a:xfrm>
                                <a:off x="0" y="0"/>
                                <a:ext cx="203200" cy="2095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18" o:spid="_x0000_s1026" o:spt="1" style="position:absolute;left:0pt;margin-left:3.2pt;margin-top:23.25pt;height:16.5pt;width:16pt;z-index:251671552;mso-width-relative:page;mso-height-relative:page;" fillcolor="#FFFFFF" filled="t" stroked="t" coordsize="21600,21600" o:gfxdata="UEsDBAoAAAAAAIdO4kAAAAAAAAAAAAAAAAAEAAAAZHJzL1BLAwQUAAAACACHTuJAJQ6geNUAAAAG&#10;AQAADwAAAGRycy9kb3ducmV2LnhtbE2OTU/DMBBE70j8B2uRuFG7X6EN2fQAKhLHNr1w28QmCcR2&#10;FDtt4NeznMpxNKM3L9tNthNnM4TWO4T5TIEwrvK6dTXCqdg/bECESE5T551B+DYBdvntTUap9hd3&#10;MOdjrAVDXEgJoYmxT6UMVWMshZnvjePuww+WIsehlnqgC8NtJxdKJdJS6/ihod48N6b6Oo4WoWwX&#10;J/o5FK/KbvfL+DYVn+P7C+L93Vw9gYhmitcx/OmzOuTsVPrR6SA6hGTFQ4RVsgbB9XLDuUR43K5B&#10;5pn8r5//AlBLAwQUAAAACACHTuJAKla/Qv0BAAAfBAAADgAAAGRycy9lMm9Eb2MueG1srVNLjhMx&#10;EN0jcQfLe9KdQNBMK51ZEMIGwUgzHKBiu7st+SeXk05Og8SOQ3AcxDUoOyHzgUUW9KK73C6/eu9V&#10;eXGzt4btVETtXcunk5oz5YSX2vUt/3K/fnXFGSZwEox3quUHhfxm+fLFYgyNmvnBG6kiIxCHzRha&#10;PqQUmqpCMSgLOPFBOdrsfLSQaBn7SkYYCd2aalbXb6vRRxmiFwqR/q6Om/yEGC8B9F2nhVp5sbXK&#10;pSNqVAYSScJBB+TLwrbrlEifuw5VYqblpDSVNxWheJPf1XIBTR8hDFqcKMAlFJ5psqAdFT1DrSAB&#10;20b9F5TVInr0XZoIb6ujkOIIqZjWz7y5GyCoooWsxnA2Hf8frPi0u41MS5qEN5w5sNTxX1+///zx&#10;jU2vsjtjwIaS7sJtPK2Qwix130WbvySC7Yujh7Ojap+YoJ+z+jX1nDNBW7P6ej4vjlcPh0PE9EF5&#10;y3LQ8kgNKz7C7iMmKkipf1JyLfRGy7U2pixiv3lnItsBNXddnsyYjjxJM46NLb+ez+bEA2hiO5oU&#10;Cm0g1ej6Uu/JCXwMXJfnX8CZ2ApwOBIoCDkNGquTym5BMyiQ751k6RDIWEcXimcyVknOjKL7l6OS&#10;mUCbSzJJnXEkMvfl2Ikcbbw8UB+3Iep+IB+nhW/eobkplpxmPA/m43VBerjX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lDqB41QAAAAYBAAAPAAAAAAAAAAEAIAAAACIAAABkcnMvZG93bnJldi54&#10;bWxQSwECFAAUAAAACACHTuJAKla/Qv0BAAAfBAAADgAAAAAAAAABACAAAAAkAQAAZHJzL2Uyb0Rv&#10;Yy54bWxQSwUGAAAAAAYABgBZAQAAkwUAAAAA&#10;">
                      <v:fill on="t" focussize="0,0"/>
                      <v:stroke color="#000000" joinstyle="miter"/>
                      <v:imagedata o:title=""/>
                      <o:lock v:ext="edit" aspectratio="f"/>
                    </v:rect>
                  </w:pict>
                </mc:Fallback>
              </mc:AlternateContent>
            </w:r>
            <w:r>
              <w:rPr>
                <w:rFonts w:hint="eastAsia" w:ascii="宋体" w:hAnsi="宋体" w:eastAsia="宋体" w:cs="宋体"/>
                <w:color w:val="auto"/>
                <w:sz w:val="24"/>
                <w:szCs w:val="24"/>
                <w:highlight w:val="none"/>
              </w:rPr>
              <w:t>是（制造商名称：      制造商国别：       ）</w:t>
            </w:r>
          </w:p>
          <w:p w14:paraId="33074B9E">
            <w:pPr>
              <w:pStyle w:val="8"/>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3307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bottom"/>
          </w:tcPr>
          <w:p w14:paraId="33074BA0">
            <w:pPr>
              <w:pStyle w:val="8"/>
              <w:adjustRightInd w:val="0"/>
              <w:snapToGrid w:val="0"/>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其他</w:t>
            </w:r>
          </w:p>
        </w:tc>
        <w:tc>
          <w:tcPr>
            <w:tcW w:w="5883" w:type="dxa"/>
            <w:vAlign w:val="center"/>
          </w:tcPr>
          <w:p w14:paraId="33074BA1">
            <w:pPr>
              <w:pStyle w:val="8"/>
              <w:adjustRightInd w:val="0"/>
              <w:snapToGrid w:val="0"/>
              <w:spacing w:line="360" w:lineRule="auto"/>
              <w:ind w:firstLine="1560" w:firstLineChars="650"/>
              <w:rPr>
                <w:rFonts w:ascii="宋体" w:hAnsi="宋体" w:eastAsia="宋体" w:cs="宋体"/>
                <w:color w:val="auto"/>
                <w:sz w:val="24"/>
                <w:szCs w:val="24"/>
                <w:highlight w:val="none"/>
              </w:rPr>
            </w:pPr>
          </w:p>
        </w:tc>
      </w:tr>
    </w:tbl>
    <w:p w14:paraId="33074BA3">
      <w:pPr>
        <w:spacing w:line="360" w:lineRule="auto"/>
        <w:rPr>
          <w:rFonts w:ascii="宋体" w:hAnsi="宋体" w:eastAsia="宋体" w:cs="宋体"/>
          <w:color w:val="auto"/>
          <w:sz w:val="24"/>
          <w:szCs w:val="24"/>
          <w:highlight w:val="none"/>
        </w:rPr>
      </w:pPr>
    </w:p>
    <w:p w14:paraId="33074BA4">
      <w:pPr>
        <w:spacing w:line="360" w:lineRule="auto"/>
        <w:ind w:left="1540" w:right="1540" w:firstLine="360" w:firstLineChars="150"/>
        <w:rPr>
          <w:color w:val="auto"/>
          <w:highlight w:val="none"/>
        </w:rPr>
      </w:pPr>
      <w:r>
        <w:rPr>
          <w:rFonts w:hint="eastAsia" w:ascii="宋体" w:hAnsi="宋体" w:eastAsia="宋体" w:cs="宋体"/>
          <w:color w:val="auto"/>
          <w:sz w:val="24"/>
          <w:szCs w:val="24"/>
          <w:highlight w:val="none"/>
        </w:rPr>
        <w:t>法定代表人或授权代表（签字）：</w:t>
      </w:r>
    </w:p>
    <w:p w14:paraId="33074BA5">
      <w:pPr>
        <w:spacing w:line="360" w:lineRule="auto"/>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14:paraId="33074BA6">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  年   月   日</w:t>
      </w:r>
    </w:p>
    <w:p w14:paraId="33074BA7">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填写说明：</w:t>
      </w:r>
    </w:p>
    <w:p w14:paraId="33074BA8">
      <w:pPr>
        <w:spacing w:line="360" w:lineRule="auto"/>
        <w:ind w:firstLine="480"/>
        <w:rPr>
          <w:rFonts w:ascii="宋体" w:hAnsi="宋体" w:eastAsia="宋体" w:cs="宋体"/>
          <w:i/>
          <w:color w:val="auto"/>
          <w:sz w:val="24"/>
          <w:szCs w:val="24"/>
          <w:highlight w:val="none"/>
          <w:u w:val="single"/>
        </w:rPr>
      </w:pPr>
      <w:r>
        <w:rPr>
          <w:rFonts w:hint="eastAsia" w:ascii="宋体" w:hAnsi="宋体" w:eastAsia="宋体" w:cs="宋体"/>
          <w:i/>
          <w:color w:val="auto"/>
          <w:sz w:val="24"/>
          <w:szCs w:val="24"/>
          <w:highlight w:val="none"/>
        </w:rPr>
        <w:t>1、</w:t>
      </w:r>
      <w:r>
        <w:rPr>
          <w:rFonts w:hint="eastAsia" w:ascii="宋体" w:hAnsi="宋体" w:eastAsia="宋体" w:cs="宋体"/>
          <w:b/>
          <w:bCs/>
          <w:i/>
          <w:color w:val="auto"/>
          <w:sz w:val="24"/>
          <w:szCs w:val="24"/>
          <w:highlight w:val="none"/>
          <w:u w:val="single"/>
        </w:rPr>
        <w:t>开标一览表必须单独密封在信封中，在投标截止时间前与投标文件分别递交，否则视为无效投标。</w:t>
      </w:r>
    </w:p>
    <w:p w14:paraId="33074BA9">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i/>
          <w:color w:val="auto"/>
          <w:sz w:val="24"/>
          <w:szCs w:val="24"/>
          <w:highlight w:val="none"/>
        </w:rPr>
        <w:t>2、</w:t>
      </w:r>
      <w:r>
        <w:rPr>
          <w:rFonts w:hint="eastAsia" w:ascii="宋体" w:hAnsi="宋体" w:eastAsia="宋体" w:cs="宋体"/>
          <w:b/>
          <w:i/>
          <w:iCs/>
          <w:color w:val="auto"/>
          <w:sz w:val="24"/>
          <w:szCs w:val="24"/>
          <w:highlight w:val="none"/>
          <w:u w:val="single"/>
        </w:rPr>
        <w:t>开标一览表必须加盖投标单位公章（复印件无效）</w:t>
      </w:r>
      <w:r>
        <w:rPr>
          <w:rFonts w:hint="eastAsia" w:ascii="宋体" w:hAnsi="宋体" w:eastAsia="宋体" w:cs="宋体"/>
          <w:b/>
          <w:bCs/>
          <w:i/>
          <w:color w:val="auto"/>
          <w:sz w:val="24"/>
          <w:szCs w:val="24"/>
          <w:highlight w:val="none"/>
        </w:rPr>
        <w:t>。</w:t>
      </w:r>
    </w:p>
    <w:p w14:paraId="33074BAA">
      <w:pPr>
        <w:spacing w:line="36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3.</w:t>
      </w:r>
      <w:r>
        <w:rPr>
          <w:rFonts w:hint="eastAsia" w:ascii="宋体" w:hAnsi="宋体" w:eastAsia="宋体" w:cs="宋体"/>
          <w:b/>
          <w:bCs/>
          <w:i/>
          <w:iCs/>
          <w:color w:val="auto"/>
          <w:sz w:val="24"/>
          <w:szCs w:val="24"/>
          <w:highlight w:val="none"/>
          <w:u w:val="single"/>
        </w:rPr>
        <w:t>如有分包，投标人投任何一个包的标的，都需单独提交开标一览表</w:t>
      </w:r>
      <w:r>
        <w:rPr>
          <w:rFonts w:hint="eastAsia" w:ascii="宋体" w:hAnsi="宋体" w:eastAsia="宋体" w:cs="宋体"/>
          <w:b/>
          <w:bCs/>
          <w:color w:val="auto"/>
          <w:sz w:val="24"/>
          <w:szCs w:val="24"/>
          <w:highlight w:val="none"/>
        </w:rPr>
        <w:t>。</w:t>
      </w:r>
    </w:p>
    <w:p w14:paraId="33074BAB">
      <w:pPr>
        <w:spacing w:line="36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附件四</w:t>
      </w:r>
    </w:p>
    <w:p w14:paraId="33074BAC">
      <w:pPr>
        <w:pStyle w:val="36"/>
        <w:ind w:firstLine="0"/>
        <w:jc w:val="center"/>
        <w:rPr>
          <w:rFonts w:ascii="宋体" w:hAnsi="宋体" w:cs="宋体"/>
          <w:b/>
          <w:color w:val="auto"/>
          <w:sz w:val="28"/>
          <w:szCs w:val="28"/>
          <w:highlight w:val="none"/>
        </w:rPr>
      </w:pPr>
      <w:r>
        <w:rPr>
          <w:rFonts w:hint="eastAsia" w:ascii="宋体" w:hAnsi="宋体" w:cs="宋体"/>
          <w:b/>
          <w:color w:val="auto"/>
          <w:sz w:val="28"/>
          <w:szCs w:val="28"/>
          <w:highlight w:val="none"/>
        </w:rPr>
        <w:t>投标产品配置及分项报价表</w:t>
      </w:r>
    </w:p>
    <w:p w14:paraId="33074BAD">
      <w:pPr>
        <w:spacing w:line="36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项目名称：                             项目编号：  </w:t>
      </w:r>
      <w:r>
        <w:rPr>
          <w:rFonts w:hint="eastAsia" w:ascii="宋体" w:hAnsi="宋体" w:eastAsia="宋体" w:cs="宋体"/>
          <w:color w:val="auto"/>
          <w:sz w:val="24"/>
          <w:szCs w:val="24"/>
          <w:highlight w:val="none"/>
        </w:rPr>
        <w:t xml:space="preserve">  </w:t>
      </w:r>
    </w:p>
    <w:tbl>
      <w:tblPr>
        <w:tblStyle w:val="24"/>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2781"/>
      </w:tblGrid>
      <w:tr w14:paraId="3307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3794" w:type="dxa"/>
            <w:vAlign w:val="center"/>
          </w:tcPr>
          <w:p w14:paraId="33074BAE">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货物名称及规格、型号</w:t>
            </w:r>
          </w:p>
        </w:tc>
        <w:tc>
          <w:tcPr>
            <w:tcW w:w="1567" w:type="dxa"/>
            <w:vAlign w:val="center"/>
          </w:tcPr>
          <w:p w14:paraId="33074BA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442" w:type="dxa"/>
            <w:vAlign w:val="center"/>
          </w:tcPr>
          <w:p w14:paraId="33074BB0">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w:t>
            </w:r>
          </w:p>
        </w:tc>
        <w:tc>
          <w:tcPr>
            <w:tcW w:w="2781" w:type="dxa"/>
            <w:vAlign w:val="center"/>
          </w:tcPr>
          <w:p w14:paraId="33074BB1">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总价</w:t>
            </w:r>
          </w:p>
        </w:tc>
      </w:tr>
      <w:tr w14:paraId="3307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33074BB3">
            <w:pPr>
              <w:spacing w:line="360" w:lineRule="auto"/>
              <w:rPr>
                <w:rFonts w:ascii="宋体" w:hAnsi="宋体" w:eastAsia="宋体" w:cs="宋体"/>
                <w:color w:val="auto"/>
                <w:sz w:val="24"/>
                <w:szCs w:val="24"/>
                <w:highlight w:val="none"/>
              </w:rPr>
            </w:pPr>
          </w:p>
        </w:tc>
        <w:tc>
          <w:tcPr>
            <w:tcW w:w="1567" w:type="dxa"/>
            <w:vAlign w:val="center"/>
          </w:tcPr>
          <w:p w14:paraId="33074BB4">
            <w:pPr>
              <w:spacing w:line="360" w:lineRule="auto"/>
              <w:rPr>
                <w:rFonts w:ascii="宋体" w:hAnsi="宋体" w:eastAsia="宋体" w:cs="宋体"/>
                <w:color w:val="auto"/>
                <w:sz w:val="24"/>
                <w:szCs w:val="24"/>
                <w:highlight w:val="none"/>
              </w:rPr>
            </w:pPr>
          </w:p>
        </w:tc>
        <w:tc>
          <w:tcPr>
            <w:tcW w:w="1442" w:type="dxa"/>
            <w:vAlign w:val="center"/>
          </w:tcPr>
          <w:p w14:paraId="33074BB5">
            <w:pPr>
              <w:spacing w:line="360" w:lineRule="auto"/>
              <w:rPr>
                <w:rFonts w:ascii="宋体" w:hAnsi="宋体" w:eastAsia="宋体" w:cs="宋体"/>
                <w:color w:val="auto"/>
                <w:sz w:val="24"/>
                <w:szCs w:val="24"/>
                <w:highlight w:val="none"/>
              </w:rPr>
            </w:pPr>
          </w:p>
        </w:tc>
        <w:tc>
          <w:tcPr>
            <w:tcW w:w="2781" w:type="dxa"/>
            <w:vAlign w:val="center"/>
          </w:tcPr>
          <w:p w14:paraId="33074BB6">
            <w:pPr>
              <w:spacing w:line="360" w:lineRule="auto"/>
              <w:rPr>
                <w:rFonts w:ascii="宋体" w:hAnsi="宋体" w:eastAsia="宋体" w:cs="宋体"/>
                <w:color w:val="auto"/>
                <w:sz w:val="24"/>
                <w:szCs w:val="24"/>
                <w:highlight w:val="none"/>
              </w:rPr>
            </w:pPr>
          </w:p>
        </w:tc>
      </w:tr>
      <w:tr w14:paraId="3307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33074BB8">
            <w:pPr>
              <w:spacing w:line="360" w:lineRule="auto"/>
              <w:rPr>
                <w:rFonts w:ascii="宋体" w:hAnsi="宋体" w:eastAsia="宋体" w:cs="宋体"/>
                <w:color w:val="auto"/>
                <w:sz w:val="24"/>
                <w:szCs w:val="24"/>
                <w:highlight w:val="none"/>
              </w:rPr>
            </w:pPr>
          </w:p>
        </w:tc>
        <w:tc>
          <w:tcPr>
            <w:tcW w:w="1567" w:type="dxa"/>
            <w:vAlign w:val="center"/>
          </w:tcPr>
          <w:p w14:paraId="33074BB9">
            <w:pPr>
              <w:spacing w:line="360" w:lineRule="auto"/>
              <w:rPr>
                <w:rFonts w:ascii="宋体" w:hAnsi="宋体" w:eastAsia="宋体" w:cs="宋体"/>
                <w:color w:val="auto"/>
                <w:sz w:val="24"/>
                <w:szCs w:val="24"/>
                <w:highlight w:val="none"/>
              </w:rPr>
            </w:pPr>
          </w:p>
        </w:tc>
        <w:tc>
          <w:tcPr>
            <w:tcW w:w="1442" w:type="dxa"/>
            <w:vAlign w:val="center"/>
          </w:tcPr>
          <w:p w14:paraId="33074BBA">
            <w:pPr>
              <w:spacing w:line="360" w:lineRule="auto"/>
              <w:rPr>
                <w:rFonts w:ascii="宋体" w:hAnsi="宋体" w:eastAsia="宋体" w:cs="宋体"/>
                <w:color w:val="auto"/>
                <w:sz w:val="24"/>
                <w:szCs w:val="24"/>
                <w:highlight w:val="none"/>
              </w:rPr>
            </w:pPr>
          </w:p>
        </w:tc>
        <w:tc>
          <w:tcPr>
            <w:tcW w:w="2781" w:type="dxa"/>
            <w:vAlign w:val="center"/>
          </w:tcPr>
          <w:p w14:paraId="33074BBB">
            <w:pPr>
              <w:spacing w:line="360" w:lineRule="auto"/>
              <w:rPr>
                <w:rFonts w:ascii="宋体" w:hAnsi="宋体" w:eastAsia="宋体" w:cs="宋体"/>
                <w:color w:val="auto"/>
                <w:sz w:val="24"/>
                <w:szCs w:val="24"/>
                <w:highlight w:val="none"/>
              </w:rPr>
            </w:pPr>
          </w:p>
        </w:tc>
      </w:tr>
      <w:tr w14:paraId="3307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33074BBD">
            <w:pPr>
              <w:spacing w:line="360" w:lineRule="auto"/>
              <w:rPr>
                <w:rFonts w:ascii="宋体" w:hAnsi="宋体" w:eastAsia="宋体" w:cs="宋体"/>
                <w:color w:val="auto"/>
                <w:sz w:val="24"/>
                <w:szCs w:val="24"/>
                <w:highlight w:val="none"/>
              </w:rPr>
            </w:pPr>
          </w:p>
        </w:tc>
        <w:tc>
          <w:tcPr>
            <w:tcW w:w="1567" w:type="dxa"/>
            <w:vAlign w:val="center"/>
          </w:tcPr>
          <w:p w14:paraId="33074BBE">
            <w:pPr>
              <w:spacing w:line="360" w:lineRule="auto"/>
              <w:rPr>
                <w:rFonts w:ascii="宋体" w:hAnsi="宋体" w:eastAsia="宋体" w:cs="宋体"/>
                <w:color w:val="auto"/>
                <w:sz w:val="24"/>
                <w:szCs w:val="24"/>
                <w:highlight w:val="none"/>
              </w:rPr>
            </w:pPr>
          </w:p>
        </w:tc>
        <w:tc>
          <w:tcPr>
            <w:tcW w:w="1442" w:type="dxa"/>
            <w:vAlign w:val="center"/>
          </w:tcPr>
          <w:p w14:paraId="33074BBF">
            <w:pPr>
              <w:spacing w:line="360" w:lineRule="auto"/>
              <w:rPr>
                <w:rFonts w:ascii="宋体" w:hAnsi="宋体" w:eastAsia="宋体" w:cs="宋体"/>
                <w:color w:val="auto"/>
                <w:sz w:val="24"/>
                <w:szCs w:val="24"/>
                <w:highlight w:val="none"/>
              </w:rPr>
            </w:pPr>
          </w:p>
        </w:tc>
        <w:tc>
          <w:tcPr>
            <w:tcW w:w="2781" w:type="dxa"/>
            <w:vAlign w:val="center"/>
          </w:tcPr>
          <w:p w14:paraId="33074BC0">
            <w:pPr>
              <w:spacing w:line="360" w:lineRule="auto"/>
              <w:rPr>
                <w:rFonts w:ascii="宋体" w:hAnsi="宋体" w:eastAsia="宋体" w:cs="宋体"/>
                <w:color w:val="auto"/>
                <w:sz w:val="24"/>
                <w:szCs w:val="24"/>
                <w:highlight w:val="none"/>
              </w:rPr>
            </w:pPr>
          </w:p>
        </w:tc>
      </w:tr>
      <w:tr w14:paraId="3307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14:paraId="33074BC2">
            <w:pPr>
              <w:spacing w:line="360" w:lineRule="auto"/>
              <w:rPr>
                <w:rFonts w:ascii="宋体" w:hAnsi="宋体" w:eastAsia="宋体" w:cs="宋体"/>
                <w:color w:val="auto"/>
                <w:sz w:val="24"/>
                <w:szCs w:val="24"/>
                <w:highlight w:val="none"/>
              </w:rPr>
            </w:pPr>
          </w:p>
        </w:tc>
        <w:tc>
          <w:tcPr>
            <w:tcW w:w="1567" w:type="dxa"/>
            <w:vAlign w:val="center"/>
          </w:tcPr>
          <w:p w14:paraId="33074BC3">
            <w:pPr>
              <w:spacing w:line="360" w:lineRule="auto"/>
              <w:rPr>
                <w:rFonts w:ascii="宋体" w:hAnsi="宋体" w:eastAsia="宋体" w:cs="宋体"/>
                <w:color w:val="auto"/>
                <w:sz w:val="24"/>
                <w:szCs w:val="24"/>
                <w:highlight w:val="none"/>
              </w:rPr>
            </w:pPr>
          </w:p>
        </w:tc>
        <w:tc>
          <w:tcPr>
            <w:tcW w:w="1442" w:type="dxa"/>
            <w:vAlign w:val="center"/>
          </w:tcPr>
          <w:p w14:paraId="33074BC4">
            <w:pPr>
              <w:spacing w:line="360" w:lineRule="auto"/>
              <w:rPr>
                <w:rFonts w:ascii="宋体" w:hAnsi="宋体" w:eastAsia="宋体" w:cs="宋体"/>
                <w:color w:val="auto"/>
                <w:sz w:val="24"/>
                <w:szCs w:val="24"/>
                <w:highlight w:val="none"/>
              </w:rPr>
            </w:pPr>
          </w:p>
        </w:tc>
        <w:tc>
          <w:tcPr>
            <w:tcW w:w="2781" w:type="dxa"/>
            <w:vAlign w:val="center"/>
          </w:tcPr>
          <w:p w14:paraId="33074BC5">
            <w:pPr>
              <w:spacing w:line="360" w:lineRule="auto"/>
              <w:rPr>
                <w:rFonts w:ascii="宋体" w:hAnsi="宋体" w:eastAsia="宋体" w:cs="宋体"/>
                <w:color w:val="auto"/>
                <w:sz w:val="24"/>
                <w:szCs w:val="24"/>
                <w:highlight w:val="none"/>
              </w:rPr>
            </w:pPr>
          </w:p>
        </w:tc>
      </w:tr>
      <w:tr w14:paraId="3307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14:paraId="33074BC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5790" w:type="dxa"/>
            <w:gridSpan w:val="3"/>
          </w:tcPr>
          <w:p w14:paraId="33074BC8">
            <w:pPr>
              <w:spacing w:line="360" w:lineRule="auto"/>
              <w:rPr>
                <w:rFonts w:ascii="宋体" w:hAnsi="宋体" w:eastAsia="宋体" w:cs="宋体"/>
                <w:color w:val="auto"/>
                <w:sz w:val="24"/>
                <w:szCs w:val="24"/>
                <w:highlight w:val="none"/>
              </w:rPr>
            </w:pPr>
          </w:p>
        </w:tc>
      </w:tr>
    </w:tbl>
    <w:p w14:paraId="33074BCA">
      <w:pPr>
        <w:spacing w:line="360" w:lineRule="auto"/>
        <w:rPr>
          <w:rFonts w:ascii="宋体" w:hAnsi="宋体" w:eastAsia="宋体" w:cs="宋体"/>
          <w:color w:val="auto"/>
          <w:sz w:val="24"/>
          <w:szCs w:val="24"/>
          <w:highlight w:val="none"/>
        </w:rPr>
      </w:pPr>
    </w:p>
    <w:p w14:paraId="33074BCB">
      <w:pPr>
        <w:spacing w:line="360" w:lineRule="auto"/>
        <w:rPr>
          <w:rFonts w:ascii="宋体" w:hAnsi="宋体" w:eastAsia="宋体" w:cs="宋体"/>
          <w:color w:val="auto"/>
          <w:sz w:val="24"/>
          <w:szCs w:val="24"/>
          <w:highlight w:val="none"/>
        </w:rPr>
      </w:pPr>
    </w:p>
    <w:p w14:paraId="33074BCC">
      <w:pPr>
        <w:spacing w:line="360" w:lineRule="auto"/>
        <w:rPr>
          <w:rFonts w:ascii="宋体" w:hAnsi="宋体" w:eastAsia="宋体" w:cs="宋体"/>
          <w:color w:val="auto"/>
          <w:sz w:val="24"/>
          <w:szCs w:val="24"/>
          <w:highlight w:val="none"/>
        </w:rPr>
      </w:pPr>
    </w:p>
    <w:p w14:paraId="33074BCD">
      <w:pPr>
        <w:spacing w:line="36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BCE">
      <w:pPr>
        <w:pStyle w:val="11"/>
        <w:ind w:left="1540" w:right="1540"/>
        <w:rPr>
          <w:color w:val="auto"/>
          <w:highlight w:val="none"/>
        </w:rPr>
      </w:pPr>
    </w:p>
    <w:p w14:paraId="33074BCF">
      <w:pPr>
        <w:spacing w:line="360" w:lineRule="auto"/>
        <w:ind w:firstLine="240" w:firstLineChars="1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14:paraId="33074BD0">
      <w:pPr>
        <w:spacing w:line="360" w:lineRule="auto"/>
        <w:jc w:val="center"/>
        <w:rPr>
          <w:rFonts w:ascii="宋体" w:hAnsi="宋体" w:eastAsia="宋体" w:cs="宋体"/>
          <w:color w:val="auto"/>
          <w:sz w:val="24"/>
          <w:szCs w:val="24"/>
          <w:highlight w:val="none"/>
        </w:rPr>
      </w:pPr>
    </w:p>
    <w:p w14:paraId="33074BD1">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  年   月   日</w:t>
      </w:r>
    </w:p>
    <w:p w14:paraId="33074BD2">
      <w:pPr>
        <w:spacing w:line="360" w:lineRule="auto"/>
        <w:rPr>
          <w:rFonts w:ascii="宋体" w:hAnsi="宋体" w:eastAsia="宋体" w:cs="宋体"/>
          <w:color w:val="auto"/>
          <w:sz w:val="24"/>
          <w:szCs w:val="24"/>
          <w:highlight w:val="none"/>
        </w:rPr>
      </w:pPr>
    </w:p>
    <w:p w14:paraId="33074BD3">
      <w:pPr>
        <w:spacing w:line="360" w:lineRule="auto"/>
        <w:rPr>
          <w:rFonts w:ascii="宋体" w:hAnsi="宋体" w:eastAsia="宋体" w:cs="宋体"/>
          <w:b/>
          <w:bCs/>
          <w:color w:val="auto"/>
          <w:sz w:val="24"/>
          <w:szCs w:val="24"/>
          <w:highlight w:val="none"/>
        </w:rPr>
      </w:pPr>
    </w:p>
    <w:p w14:paraId="33074BD4">
      <w:pPr>
        <w:spacing w:line="36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附件五</w:t>
      </w:r>
    </w:p>
    <w:p w14:paraId="33074BD5">
      <w:pPr>
        <w:spacing w:line="360" w:lineRule="auto"/>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商务条款响应表</w:t>
      </w:r>
    </w:p>
    <w:p w14:paraId="33074BD6">
      <w:pPr>
        <w:shd w:val="clear" w:color="auto" w:fill="FFFFFF"/>
        <w:spacing w:line="360" w:lineRule="auto"/>
        <w:rPr>
          <w:rFonts w:ascii="Arial" w:hAnsi="Arial" w:cs="Arial"/>
          <w:color w:val="auto"/>
          <w:szCs w:val="21"/>
          <w:highlight w:val="none"/>
        </w:rPr>
      </w:pPr>
      <w:r>
        <w:rPr>
          <w:rFonts w:ascii="Arial" w:hAnsi="Arial" w:cs="Arial"/>
          <w:color w:val="auto"/>
          <w:sz w:val="24"/>
          <w:highlight w:val="none"/>
        </w:rPr>
        <w:t> </w:t>
      </w:r>
      <w:r>
        <w:rPr>
          <w:rFonts w:hint="eastAsia" w:ascii="宋体" w:hAnsi="宋体" w:eastAsia="宋体" w:cs="宋体"/>
          <w:b/>
          <w:bCs/>
          <w:color w:val="auto"/>
          <w:sz w:val="24"/>
          <w:szCs w:val="24"/>
          <w:highlight w:val="none"/>
        </w:rPr>
        <w:t xml:space="preserve">项目名称：                             项目编号：  </w:t>
      </w:r>
      <w:r>
        <w:rPr>
          <w:rFonts w:hint="eastAsia" w:ascii="宋体" w:hAnsi="宋体" w:eastAsia="宋体" w:cs="宋体"/>
          <w:color w:val="auto"/>
          <w:sz w:val="24"/>
          <w:szCs w:val="24"/>
          <w:highlight w:val="none"/>
        </w:rPr>
        <w:t xml:space="preserve">  </w:t>
      </w:r>
    </w:p>
    <w:tbl>
      <w:tblPr>
        <w:tblStyle w:val="24"/>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1679"/>
        <w:gridCol w:w="2488"/>
        <w:gridCol w:w="3004"/>
      </w:tblGrid>
      <w:tr w14:paraId="3307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974" w:type="dxa"/>
            <w:tcMar>
              <w:top w:w="0" w:type="dxa"/>
              <w:left w:w="10" w:type="dxa"/>
              <w:bottom w:w="0" w:type="dxa"/>
              <w:right w:w="10" w:type="dxa"/>
            </w:tcMar>
            <w:vAlign w:val="center"/>
          </w:tcPr>
          <w:p w14:paraId="33074BD7">
            <w:pPr>
              <w:spacing w:line="36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1679" w:type="dxa"/>
            <w:tcMar>
              <w:top w:w="0" w:type="dxa"/>
              <w:left w:w="10" w:type="dxa"/>
              <w:bottom w:w="0" w:type="dxa"/>
              <w:right w:w="10" w:type="dxa"/>
            </w:tcMar>
            <w:vAlign w:val="center"/>
          </w:tcPr>
          <w:p w14:paraId="33074BD8">
            <w:pPr>
              <w:spacing w:line="36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招标文件要求</w:t>
            </w:r>
          </w:p>
        </w:tc>
        <w:tc>
          <w:tcPr>
            <w:tcW w:w="2488" w:type="dxa"/>
            <w:tcMar>
              <w:top w:w="0" w:type="dxa"/>
              <w:left w:w="10" w:type="dxa"/>
              <w:bottom w:w="0" w:type="dxa"/>
              <w:right w:w="10" w:type="dxa"/>
            </w:tcMar>
            <w:vAlign w:val="center"/>
          </w:tcPr>
          <w:p w14:paraId="33074BD9">
            <w:pPr>
              <w:spacing w:line="36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投标响应</w:t>
            </w:r>
          </w:p>
        </w:tc>
        <w:tc>
          <w:tcPr>
            <w:tcW w:w="3004" w:type="dxa"/>
            <w:tcMar>
              <w:top w:w="0" w:type="dxa"/>
              <w:left w:w="10" w:type="dxa"/>
              <w:bottom w:w="0" w:type="dxa"/>
              <w:right w:w="10" w:type="dxa"/>
            </w:tcMar>
            <w:vAlign w:val="center"/>
          </w:tcPr>
          <w:p w14:paraId="33074BDA">
            <w:pPr>
              <w:spacing w:line="32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偏离情况</w:t>
            </w:r>
          </w:p>
          <w:p w14:paraId="33074BDB">
            <w:pPr>
              <w:spacing w:line="320" w:lineRule="exact"/>
              <w:jc w:val="center"/>
              <w:rPr>
                <w:rFonts w:ascii="宋体" w:hAnsi="宋体" w:eastAsia="宋体" w:cs="宋体"/>
                <w:color w:val="auto"/>
                <w:sz w:val="24"/>
                <w:szCs w:val="24"/>
                <w:highlight w:val="none"/>
              </w:rPr>
            </w:pPr>
            <w:r>
              <w:rPr>
                <w:rFonts w:hint="eastAsia" w:ascii="宋体" w:hAnsi="宋体" w:eastAsia="宋体" w:cs="宋体"/>
                <w:b/>
                <w:bCs/>
                <w:color w:val="auto"/>
                <w:sz w:val="21"/>
                <w:szCs w:val="21"/>
                <w:highlight w:val="none"/>
              </w:rPr>
              <w:t>（无、正、负偏离）</w:t>
            </w:r>
          </w:p>
        </w:tc>
      </w:tr>
      <w:tr w14:paraId="3307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DD">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679" w:type="dxa"/>
            <w:tcMar>
              <w:top w:w="0" w:type="dxa"/>
              <w:left w:w="10" w:type="dxa"/>
              <w:bottom w:w="0" w:type="dxa"/>
              <w:right w:w="10" w:type="dxa"/>
            </w:tcMar>
            <w:vAlign w:val="center"/>
          </w:tcPr>
          <w:p w14:paraId="33074BDE">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2488" w:type="dxa"/>
            <w:tcMar>
              <w:top w:w="0" w:type="dxa"/>
              <w:left w:w="10" w:type="dxa"/>
              <w:bottom w:w="0" w:type="dxa"/>
              <w:right w:w="10" w:type="dxa"/>
            </w:tcMar>
            <w:vAlign w:val="center"/>
          </w:tcPr>
          <w:p w14:paraId="33074BDF">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004" w:type="dxa"/>
            <w:tcMar>
              <w:top w:w="0" w:type="dxa"/>
              <w:left w:w="10" w:type="dxa"/>
              <w:bottom w:w="0" w:type="dxa"/>
              <w:right w:w="10" w:type="dxa"/>
            </w:tcMar>
            <w:vAlign w:val="center"/>
          </w:tcPr>
          <w:p w14:paraId="33074BE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307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E2">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679" w:type="dxa"/>
            <w:tcMar>
              <w:top w:w="0" w:type="dxa"/>
              <w:left w:w="10" w:type="dxa"/>
              <w:bottom w:w="0" w:type="dxa"/>
              <w:right w:w="10" w:type="dxa"/>
            </w:tcMar>
            <w:vAlign w:val="center"/>
          </w:tcPr>
          <w:p w14:paraId="33074BE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2488" w:type="dxa"/>
            <w:tcMar>
              <w:top w:w="0" w:type="dxa"/>
              <w:left w:w="10" w:type="dxa"/>
              <w:bottom w:w="0" w:type="dxa"/>
              <w:right w:w="10" w:type="dxa"/>
            </w:tcMar>
            <w:vAlign w:val="center"/>
          </w:tcPr>
          <w:p w14:paraId="33074BE4">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004" w:type="dxa"/>
            <w:tcMar>
              <w:top w:w="0" w:type="dxa"/>
              <w:left w:w="10" w:type="dxa"/>
              <w:bottom w:w="0" w:type="dxa"/>
              <w:right w:w="10" w:type="dxa"/>
            </w:tcMar>
            <w:vAlign w:val="center"/>
          </w:tcPr>
          <w:p w14:paraId="33074BE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307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E7">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679" w:type="dxa"/>
            <w:tcMar>
              <w:top w:w="0" w:type="dxa"/>
              <w:left w:w="10" w:type="dxa"/>
              <w:bottom w:w="0" w:type="dxa"/>
              <w:right w:w="10" w:type="dxa"/>
            </w:tcMar>
            <w:vAlign w:val="center"/>
          </w:tcPr>
          <w:p w14:paraId="33074BE8">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2488" w:type="dxa"/>
            <w:tcMar>
              <w:top w:w="0" w:type="dxa"/>
              <w:left w:w="10" w:type="dxa"/>
              <w:bottom w:w="0" w:type="dxa"/>
              <w:right w:w="10" w:type="dxa"/>
            </w:tcMar>
            <w:vAlign w:val="center"/>
          </w:tcPr>
          <w:p w14:paraId="33074BE9">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004" w:type="dxa"/>
            <w:tcMar>
              <w:top w:w="0" w:type="dxa"/>
              <w:left w:w="10" w:type="dxa"/>
              <w:bottom w:w="0" w:type="dxa"/>
              <w:right w:w="10" w:type="dxa"/>
            </w:tcMar>
            <w:vAlign w:val="center"/>
          </w:tcPr>
          <w:p w14:paraId="33074BEA">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307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E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679" w:type="dxa"/>
            <w:tcMar>
              <w:top w:w="0" w:type="dxa"/>
              <w:left w:w="10" w:type="dxa"/>
              <w:bottom w:w="0" w:type="dxa"/>
              <w:right w:w="10" w:type="dxa"/>
            </w:tcMar>
            <w:vAlign w:val="center"/>
          </w:tcPr>
          <w:p w14:paraId="33074BED">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2488" w:type="dxa"/>
            <w:tcMar>
              <w:top w:w="0" w:type="dxa"/>
              <w:left w:w="10" w:type="dxa"/>
              <w:bottom w:w="0" w:type="dxa"/>
              <w:right w:w="10" w:type="dxa"/>
            </w:tcMar>
            <w:vAlign w:val="center"/>
          </w:tcPr>
          <w:p w14:paraId="33074BEE">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004" w:type="dxa"/>
            <w:tcMar>
              <w:top w:w="0" w:type="dxa"/>
              <w:left w:w="10" w:type="dxa"/>
              <w:bottom w:w="0" w:type="dxa"/>
              <w:right w:w="10" w:type="dxa"/>
            </w:tcMar>
            <w:vAlign w:val="center"/>
          </w:tcPr>
          <w:p w14:paraId="33074BEF">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307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F1">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679" w:type="dxa"/>
            <w:tcMar>
              <w:top w:w="0" w:type="dxa"/>
              <w:left w:w="10" w:type="dxa"/>
              <w:bottom w:w="0" w:type="dxa"/>
              <w:right w:w="10" w:type="dxa"/>
            </w:tcMar>
            <w:vAlign w:val="center"/>
          </w:tcPr>
          <w:p w14:paraId="33074BF2">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2488" w:type="dxa"/>
            <w:tcMar>
              <w:top w:w="0" w:type="dxa"/>
              <w:left w:w="10" w:type="dxa"/>
              <w:bottom w:w="0" w:type="dxa"/>
              <w:right w:w="10" w:type="dxa"/>
            </w:tcMar>
            <w:vAlign w:val="center"/>
          </w:tcPr>
          <w:p w14:paraId="33074BF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004" w:type="dxa"/>
            <w:tcMar>
              <w:top w:w="0" w:type="dxa"/>
              <w:left w:w="10" w:type="dxa"/>
              <w:bottom w:w="0" w:type="dxa"/>
              <w:right w:w="10" w:type="dxa"/>
            </w:tcMar>
            <w:vAlign w:val="center"/>
          </w:tcPr>
          <w:p w14:paraId="33074BF4">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307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F6">
            <w:pPr>
              <w:spacing w:line="360" w:lineRule="auto"/>
              <w:rPr>
                <w:rFonts w:ascii="宋体" w:hAnsi="宋体" w:eastAsia="宋体" w:cs="宋体"/>
                <w:color w:val="auto"/>
                <w:sz w:val="24"/>
                <w:szCs w:val="24"/>
                <w:highlight w:val="none"/>
              </w:rPr>
            </w:pPr>
          </w:p>
        </w:tc>
        <w:tc>
          <w:tcPr>
            <w:tcW w:w="1679" w:type="dxa"/>
            <w:tcMar>
              <w:top w:w="0" w:type="dxa"/>
              <w:left w:w="10" w:type="dxa"/>
              <w:bottom w:w="0" w:type="dxa"/>
              <w:right w:w="10" w:type="dxa"/>
            </w:tcMar>
            <w:vAlign w:val="center"/>
          </w:tcPr>
          <w:p w14:paraId="33074BF7">
            <w:pPr>
              <w:spacing w:line="360" w:lineRule="auto"/>
              <w:rPr>
                <w:rFonts w:ascii="宋体" w:hAnsi="宋体" w:eastAsia="宋体" w:cs="宋体"/>
                <w:color w:val="auto"/>
                <w:sz w:val="24"/>
                <w:szCs w:val="24"/>
                <w:highlight w:val="none"/>
              </w:rPr>
            </w:pPr>
          </w:p>
        </w:tc>
        <w:tc>
          <w:tcPr>
            <w:tcW w:w="2488" w:type="dxa"/>
            <w:tcMar>
              <w:top w:w="0" w:type="dxa"/>
              <w:left w:w="10" w:type="dxa"/>
              <w:bottom w:w="0" w:type="dxa"/>
              <w:right w:w="10" w:type="dxa"/>
            </w:tcMar>
            <w:vAlign w:val="center"/>
          </w:tcPr>
          <w:p w14:paraId="33074BF8">
            <w:pPr>
              <w:spacing w:line="360" w:lineRule="auto"/>
              <w:rPr>
                <w:rFonts w:ascii="宋体" w:hAnsi="宋体" w:eastAsia="宋体" w:cs="宋体"/>
                <w:color w:val="auto"/>
                <w:sz w:val="24"/>
                <w:szCs w:val="24"/>
                <w:highlight w:val="none"/>
              </w:rPr>
            </w:pPr>
          </w:p>
        </w:tc>
        <w:tc>
          <w:tcPr>
            <w:tcW w:w="3004" w:type="dxa"/>
            <w:tcMar>
              <w:top w:w="0" w:type="dxa"/>
              <w:left w:w="10" w:type="dxa"/>
              <w:bottom w:w="0" w:type="dxa"/>
              <w:right w:w="10" w:type="dxa"/>
            </w:tcMar>
            <w:vAlign w:val="center"/>
          </w:tcPr>
          <w:p w14:paraId="33074BF9">
            <w:pPr>
              <w:spacing w:line="360" w:lineRule="auto"/>
              <w:rPr>
                <w:rFonts w:ascii="宋体" w:hAnsi="宋体" w:eastAsia="宋体" w:cs="宋体"/>
                <w:color w:val="auto"/>
                <w:sz w:val="24"/>
                <w:szCs w:val="24"/>
                <w:highlight w:val="none"/>
              </w:rPr>
            </w:pPr>
          </w:p>
        </w:tc>
      </w:tr>
      <w:tr w14:paraId="3307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3074BFB">
            <w:pPr>
              <w:spacing w:line="360" w:lineRule="auto"/>
              <w:rPr>
                <w:rFonts w:ascii="宋体" w:hAnsi="宋体" w:eastAsia="宋体" w:cs="宋体"/>
                <w:color w:val="auto"/>
                <w:sz w:val="24"/>
                <w:szCs w:val="24"/>
                <w:highlight w:val="none"/>
              </w:rPr>
            </w:pPr>
          </w:p>
        </w:tc>
        <w:tc>
          <w:tcPr>
            <w:tcW w:w="1679" w:type="dxa"/>
            <w:tcMar>
              <w:top w:w="0" w:type="dxa"/>
              <w:left w:w="10" w:type="dxa"/>
              <w:bottom w:w="0" w:type="dxa"/>
              <w:right w:w="10" w:type="dxa"/>
            </w:tcMar>
            <w:vAlign w:val="center"/>
          </w:tcPr>
          <w:p w14:paraId="33074BFC">
            <w:pPr>
              <w:spacing w:line="360" w:lineRule="auto"/>
              <w:rPr>
                <w:rFonts w:ascii="宋体" w:hAnsi="宋体" w:eastAsia="宋体" w:cs="宋体"/>
                <w:color w:val="auto"/>
                <w:sz w:val="24"/>
                <w:szCs w:val="24"/>
                <w:highlight w:val="none"/>
              </w:rPr>
            </w:pPr>
          </w:p>
        </w:tc>
        <w:tc>
          <w:tcPr>
            <w:tcW w:w="2488" w:type="dxa"/>
            <w:tcMar>
              <w:top w:w="0" w:type="dxa"/>
              <w:left w:w="10" w:type="dxa"/>
              <w:bottom w:w="0" w:type="dxa"/>
              <w:right w:w="10" w:type="dxa"/>
            </w:tcMar>
            <w:vAlign w:val="center"/>
          </w:tcPr>
          <w:p w14:paraId="33074BFD">
            <w:pPr>
              <w:spacing w:line="360" w:lineRule="auto"/>
              <w:rPr>
                <w:rFonts w:ascii="宋体" w:hAnsi="宋体" w:eastAsia="宋体" w:cs="宋体"/>
                <w:color w:val="auto"/>
                <w:sz w:val="24"/>
                <w:szCs w:val="24"/>
                <w:highlight w:val="none"/>
              </w:rPr>
            </w:pPr>
          </w:p>
        </w:tc>
        <w:tc>
          <w:tcPr>
            <w:tcW w:w="3004" w:type="dxa"/>
            <w:tcMar>
              <w:top w:w="0" w:type="dxa"/>
              <w:left w:w="10" w:type="dxa"/>
              <w:bottom w:w="0" w:type="dxa"/>
              <w:right w:w="10" w:type="dxa"/>
            </w:tcMar>
            <w:vAlign w:val="center"/>
          </w:tcPr>
          <w:p w14:paraId="33074BFE">
            <w:pPr>
              <w:spacing w:line="360" w:lineRule="auto"/>
              <w:rPr>
                <w:rFonts w:ascii="宋体" w:hAnsi="宋体" w:eastAsia="宋体" w:cs="宋体"/>
                <w:color w:val="auto"/>
                <w:sz w:val="24"/>
                <w:szCs w:val="24"/>
                <w:highlight w:val="none"/>
              </w:rPr>
            </w:pPr>
          </w:p>
        </w:tc>
      </w:tr>
    </w:tbl>
    <w:p w14:paraId="33074C00">
      <w:pPr>
        <w:spacing w:line="360" w:lineRule="auto"/>
        <w:rPr>
          <w:rFonts w:ascii="宋体" w:hAnsi="宋体" w:eastAsia="宋体" w:cs="宋体"/>
          <w:color w:val="auto"/>
          <w:sz w:val="24"/>
          <w:szCs w:val="24"/>
          <w:highlight w:val="none"/>
        </w:rPr>
      </w:pPr>
    </w:p>
    <w:p w14:paraId="33074C01">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说明：请对第一章招标公告、第三章采购需求及第五章合同主要条款及格式中的商务条款进行响应。</w:t>
      </w:r>
    </w:p>
    <w:p w14:paraId="33074C02">
      <w:pPr>
        <w:spacing w:line="360" w:lineRule="auto"/>
        <w:rPr>
          <w:rFonts w:ascii="宋体" w:hAnsi="宋体" w:eastAsia="宋体" w:cs="宋体"/>
          <w:color w:val="auto"/>
          <w:sz w:val="24"/>
          <w:szCs w:val="24"/>
          <w:highlight w:val="none"/>
        </w:rPr>
      </w:pPr>
    </w:p>
    <w:p w14:paraId="33074C03">
      <w:pPr>
        <w:spacing w:line="36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C04">
      <w:pPr>
        <w:pStyle w:val="11"/>
        <w:ind w:left="1540" w:right="1540"/>
        <w:rPr>
          <w:color w:val="auto"/>
          <w:highlight w:val="none"/>
        </w:rPr>
      </w:pPr>
    </w:p>
    <w:p w14:paraId="33074C05">
      <w:pPr>
        <w:spacing w:line="360" w:lineRule="auto"/>
        <w:ind w:firstLine="240" w:firstLineChars="1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14:paraId="33074C06">
      <w:pPr>
        <w:spacing w:line="360" w:lineRule="auto"/>
        <w:jc w:val="center"/>
        <w:rPr>
          <w:rFonts w:ascii="宋体" w:hAnsi="宋体" w:eastAsia="宋体" w:cs="宋体"/>
          <w:color w:val="auto"/>
          <w:sz w:val="24"/>
          <w:szCs w:val="24"/>
          <w:highlight w:val="none"/>
        </w:rPr>
      </w:pPr>
    </w:p>
    <w:p w14:paraId="33074C07">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  年   月   日</w:t>
      </w:r>
    </w:p>
    <w:p w14:paraId="33074C08">
      <w:pPr>
        <w:pStyle w:val="11"/>
        <w:ind w:left="1540" w:right="1540"/>
        <w:rPr>
          <w:color w:val="auto"/>
          <w:highlight w:val="none"/>
        </w:rPr>
      </w:pPr>
    </w:p>
    <w:p w14:paraId="33074C09">
      <w:pPr>
        <w:spacing w:line="360" w:lineRule="auto"/>
        <w:rPr>
          <w:rFonts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附件</w:t>
      </w:r>
      <w:bookmarkEnd w:id="58"/>
      <w:bookmarkEnd w:id="59"/>
      <w:bookmarkEnd w:id="60"/>
      <w:bookmarkStart w:id="67" w:name="_Toc120614284"/>
      <w:r>
        <w:rPr>
          <w:rFonts w:hint="eastAsia" w:ascii="宋体" w:hAnsi="宋体" w:eastAsia="宋体" w:cs="宋体"/>
          <w:b/>
          <w:bCs/>
          <w:color w:val="auto"/>
          <w:sz w:val="24"/>
          <w:szCs w:val="24"/>
          <w:highlight w:val="none"/>
        </w:rPr>
        <w:t>六</w:t>
      </w:r>
    </w:p>
    <w:p w14:paraId="33074C0A">
      <w:pPr>
        <w:spacing w:line="360" w:lineRule="auto"/>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技术参数响应表</w:t>
      </w:r>
    </w:p>
    <w:p w14:paraId="33074C0B">
      <w:pPr>
        <w:pStyle w:val="11"/>
        <w:ind w:left="0" w:leftChars="0" w:right="1540"/>
        <w:rPr>
          <w:color w:val="auto"/>
          <w:highlight w:val="none"/>
        </w:rPr>
      </w:pPr>
      <w:r>
        <w:rPr>
          <w:rFonts w:hint="eastAsia" w:ascii="宋体" w:hAnsi="宋体" w:eastAsia="宋体" w:cs="宋体"/>
          <w:b/>
          <w:bCs/>
          <w:color w:val="auto"/>
          <w:sz w:val="24"/>
          <w:szCs w:val="24"/>
          <w:highlight w:val="none"/>
        </w:rPr>
        <w:t xml:space="preserve">项目名称：                             项目编号：  </w:t>
      </w:r>
      <w:r>
        <w:rPr>
          <w:rFonts w:hint="eastAsia" w:ascii="宋体" w:hAnsi="宋体" w:eastAsia="宋体" w:cs="宋体"/>
          <w:color w:val="auto"/>
          <w:sz w:val="24"/>
          <w:szCs w:val="24"/>
          <w:highlight w:val="none"/>
        </w:rPr>
        <w:t xml:space="preserve">  </w:t>
      </w:r>
    </w:p>
    <w:tbl>
      <w:tblPr>
        <w:tblStyle w:val="24"/>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335"/>
        <w:gridCol w:w="2836"/>
        <w:gridCol w:w="2176"/>
      </w:tblGrid>
      <w:tr w14:paraId="3307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984" w:type="dxa"/>
            <w:vAlign w:val="center"/>
          </w:tcPr>
          <w:p w14:paraId="33074C0C">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35" w:type="dxa"/>
            <w:vAlign w:val="center"/>
          </w:tcPr>
          <w:p w14:paraId="33074C0D">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招标文件要求</w:t>
            </w:r>
          </w:p>
        </w:tc>
        <w:tc>
          <w:tcPr>
            <w:tcW w:w="2836" w:type="dxa"/>
            <w:vAlign w:val="center"/>
          </w:tcPr>
          <w:p w14:paraId="33074C0E">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投标响应</w:t>
            </w:r>
          </w:p>
        </w:tc>
        <w:tc>
          <w:tcPr>
            <w:tcW w:w="2176" w:type="dxa"/>
            <w:vAlign w:val="center"/>
          </w:tcPr>
          <w:p w14:paraId="33074C0F">
            <w:pPr>
              <w:spacing w:line="32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偏离情况</w:t>
            </w:r>
          </w:p>
          <w:p w14:paraId="33074C10">
            <w:pPr>
              <w:spacing w:line="32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1"/>
                <w:szCs w:val="21"/>
                <w:highlight w:val="none"/>
              </w:rPr>
              <w:t>（无、正、负偏离）</w:t>
            </w:r>
          </w:p>
        </w:tc>
      </w:tr>
      <w:tr w14:paraId="3307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12">
            <w:pPr>
              <w:spacing w:line="360" w:lineRule="auto"/>
              <w:jc w:val="center"/>
              <w:rPr>
                <w:rFonts w:ascii="宋体" w:hAnsi="宋体" w:eastAsia="宋体" w:cs="宋体"/>
                <w:color w:val="auto"/>
                <w:sz w:val="24"/>
                <w:szCs w:val="24"/>
                <w:highlight w:val="none"/>
              </w:rPr>
            </w:pPr>
          </w:p>
        </w:tc>
        <w:tc>
          <w:tcPr>
            <w:tcW w:w="2335" w:type="dxa"/>
          </w:tcPr>
          <w:p w14:paraId="33074C13">
            <w:pPr>
              <w:spacing w:line="360" w:lineRule="auto"/>
              <w:jc w:val="center"/>
              <w:rPr>
                <w:rFonts w:ascii="宋体" w:hAnsi="宋体" w:eastAsia="宋体" w:cs="宋体"/>
                <w:color w:val="auto"/>
                <w:sz w:val="24"/>
                <w:szCs w:val="24"/>
                <w:highlight w:val="none"/>
              </w:rPr>
            </w:pPr>
          </w:p>
        </w:tc>
        <w:tc>
          <w:tcPr>
            <w:tcW w:w="2836" w:type="dxa"/>
          </w:tcPr>
          <w:p w14:paraId="33074C14">
            <w:pPr>
              <w:spacing w:line="360" w:lineRule="auto"/>
              <w:jc w:val="center"/>
              <w:rPr>
                <w:rFonts w:ascii="宋体" w:hAnsi="宋体" w:eastAsia="宋体" w:cs="宋体"/>
                <w:color w:val="auto"/>
                <w:sz w:val="24"/>
                <w:szCs w:val="24"/>
                <w:highlight w:val="none"/>
              </w:rPr>
            </w:pPr>
          </w:p>
        </w:tc>
        <w:tc>
          <w:tcPr>
            <w:tcW w:w="2176" w:type="dxa"/>
          </w:tcPr>
          <w:p w14:paraId="33074C15">
            <w:pPr>
              <w:spacing w:line="360" w:lineRule="auto"/>
              <w:jc w:val="center"/>
              <w:rPr>
                <w:rFonts w:ascii="宋体" w:hAnsi="宋体" w:eastAsia="宋体" w:cs="宋体"/>
                <w:color w:val="auto"/>
                <w:sz w:val="24"/>
                <w:szCs w:val="24"/>
                <w:highlight w:val="none"/>
              </w:rPr>
            </w:pPr>
          </w:p>
        </w:tc>
      </w:tr>
      <w:tr w14:paraId="3307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17">
            <w:pPr>
              <w:spacing w:line="360" w:lineRule="auto"/>
              <w:jc w:val="center"/>
              <w:rPr>
                <w:rFonts w:ascii="宋体" w:hAnsi="宋体" w:eastAsia="宋体" w:cs="宋体"/>
                <w:color w:val="auto"/>
                <w:sz w:val="24"/>
                <w:szCs w:val="24"/>
                <w:highlight w:val="none"/>
              </w:rPr>
            </w:pPr>
          </w:p>
        </w:tc>
        <w:tc>
          <w:tcPr>
            <w:tcW w:w="2335" w:type="dxa"/>
          </w:tcPr>
          <w:p w14:paraId="33074C18">
            <w:pPr>
              <w:spacing w:line="360" w:lineRule="auto"/>
              <w:jc w:val="center"/>
              <w:rPr>
                <w:rFonts w:ascii="宋体" w:hAnsi="宋体" w:eastAsia="宋体" w:cs="宋体"/>
                <w:color w:val="auto"/>
                <w:sz w:val="24"/>
                <w:szCs w:val="24"/>
                <w:highlight w:val="none"/>
              </w:rPr>
            </w:pPr>
          </w:p>
        </w:tc>
        <w:tc>
          <w:tcPr>
            <w:tcW w:w="2836" w:type="dxa"/>
          </w:tcPr>
          <w:p w14:paraId="33074C19">
            <w:pPr>
              <w:spacing w:line="360" w:lineRule="auto"/>
              <w:jc w:val="center"/>
              <w:rPr>
                <w:rFonts w:ascii="宋体" w:hAnsi="宋体" w:eastAsia="宋体" w:cs="宋体"/>
                <w:color w:val="auto"/>
                <w:sz w:val="24"/>
                <w:szCs w:val="24"/>
                <w:highlight w:val="none"/>
              </w:rPr>
            </w:pPr>
          </w:p>
        </w:tc>
        <w:tc>
          <w:tcPr>
            <w:tcW w:w="2176" w:type="dxa"/>
          </w:tcPr>
          <w:p w14:paraId="33074C1A">
            <w:pPr>
              <w:spacing w:line="360" w:lineRule="auto"/>
              <w:jc w:val="center"/>
              <w:rPr>
                <w:rFonts w:ascii="宋体" w:hAnsi="宋体" w:eastAsia="宋体" w:cs="宋体"/>
                <w:color w:val="auto"/>
                <w:sz w:val="24"/>
                <w:szCs w:val="24"/>
                <w:highlight w:val="none"/>
              </w:rPr>
            </w:pPr>
          </w:p>
        </w:tc>
      </w:tr>
      <w:tr w14:paraId="3307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1C">
            <w:pPr>
              <w:spacing w:line="360" w:lineRule="auto"/>
              <w:jc w:val="center"/>
              <w:rPr>
                <w:rFonts w:ascii="宋体" w:hAnsi="宋体" w:eastAsia="宋体" w:cs="宋体"/>
                <w:color w:val="auto"/>
                <w:sz w:val="24"/>
                <w:szCs w:val="24"/>
                <w:highlight w:val="none"/>
              </w:rPr>
            </w:pPr>
          </w:p>
        </w:tc>
        <w:tc>
          <w:tcPr>
            <w:tcW w:w="2335" w:type="dxa"/>
          </w:tcPr>
          <w:p w14:paraId="33074C1D">
            <w:pPr>
              <w:spacing w:line="360" w:lineRule="auto"/>
              <w:jc w:val="center"/>
              <w:rPr>
                <w:rFonts w:ascii="宋体" w:hAnsi="宋体" w:eastAsia="宋体" w:cs="宋体"/>
                <w:color w:val="auto"/>
                <w:sz w:val="24"/>
                <w:szCs w:val="24"/>
                <w:highlight w:val="none"/>
              </w:rPr>
            </w:pPr>
          </w:p>
        </w:tc>
        <w:tc>
          <w:tcPr>
            <w:tcW w:w="2836" w:type="dxa"/>
          </w:tcPr>
          <w:p w14:paraId="33074C1E">
            <w:pPr>
              <w:spacing w:line="360" w:lineRule="auto"/>
              <w:jc w:val="center"/>
              <w:rPr>
                <w:rFonts w:ascii="宋体" w:hAnsi="宋体" w:eastAsia="宋体" w:cs="宋体"/>
                <w:color w:val="auto"/>
                <w:sz w:val="24"/>
                <w:szCs w:val="24"/>
                <w:highlight w:val="none"/>
              </w:rPr>
            </w:pPr>
          </w:p>
        </w:tc>
        <w:tc>
          <w:tcPr>
            <w:tcW w:w="2176" w:type="dxa"/>
          </w:tcPr>
          <w:p w14:paraId="33074C1F">
            <w:pPr>
              <w:spacing w:line="360" w:lineRule="auto"/>
              <w:jc w:val="center"/>
              <w:rPr>
                <w:rFonts w:ascii="宋体" w:hAnsi="宋体" w:eastAsia="宋体" w:cs="宋体"/>
                <w:color w:val="auto"/>
                <w:sz w:val="24"/>
                <w:szCs w:val="24"/>
                <w:highlight w:val="none"/>
              </w:rPr>
            </w:pPr>
          </w:p>
        </w:tc>
      </w:tr>
      <w:tr w14:paraId="330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21">
            <w:pPr>
              <w:spacing w:line="360" w:lineRule="auto"/>
              <w:jc w:val="center"/>
              <w:rPr>
                <w:rFonts w:ascii="宋体" w:hAnsi="宋体" w:eastAsia="宋体" w:cs="宋体"/>
                <w:color w:val="auto"/>
                <w:sz w:val="24"/>
                <w:szCs w:val="24"/>
                <w:highlight w:val="none"/>
              </w:rPr>
            </w:pPr>
          </w:p>
        </w:tc>
        <w:tc>
          <w:tcPr>
            <w:tcW w:w="2335" w:type="dxa"/>
          </w:tcPr>
          <w:p w14:paraId="33074C22">
            <w:pPr>
              <w:spacing w:line="360" w:lineRule="auto"/>
              <w:jc w:val="center"/>
              <w:rPr>
                <w:rFonts w:ascii="宋体" w:hAnsi="宋体" w:eastAsia="宋体" w:cs="宋体"/>
                <w:color w:val="auto"/>
                <w:sz w:val="24"/>
                <w:szCs w:val="24"/>
                <w:highlight w:val="none"/>
              </w:rPr>
            </w:pPr>
          </w:p>
        </w:tc>
        <w:tc>
          <w:tcPr>
            <w:tcW w:w="2836" w:type="dxa"/>
          </w:tcPr>
          <w:p w14:paraId="33074C23">
            <w:pPr>
              <w:spacing w:line="360" w:lineRule="auto"/>
              <w:jc w:val="center"/>
              <w:rPr>
                <w:rFonts w:ascii="宋体" w:hAnsi="宋体" w:eastAsia="宋体" w:cs="宋体"/>
                <w:color w:val="auto"/>
                <w:sz w:val="24"/>
                <w:szCs w:val="24"/>
                <w:highlight w:val="none"/>
              </w:rPr>
            </w:pPr>
          </w:p>
        </w:tc>
        <w:tc>
          <w:tcPr>
            <w:tcW w:w="2176" w:type="dxa"/>
          </w:tcPr>
          <w:p w14:paraId="33074C24">
            <w:pPr>
              <w:spacing w:line="360" w:lineRule="auto"/>
              <w:jc w:val="center"/>
              <w:rPr>
                <w:rFonts w:ascii="宋体" w:hAnsi="宋体" w:eastAsia="宋体" w:cs="宋体"/>
                <w:color w:val="auto"/>
                <w:sz w:val="24"/>
                <w:szCs w:val="24"/>
                <w:highlight w:val="none"/>
              </w:rPr>
            </w:pPr>
          </w:p>
        </w:tc>
      </w:tr>
      <w:tr w14:paraId="3307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26">
            <w:pPr>
              <w:spacing w:line="360" w:lineRule="auto"/>
              <w:jc w:val="center"/>
              <w:rPr>
                <w:rFonts w:ascii="宋体" w:hAnsi="宋体" w:eastAsia="宋体" w:cs="宋体"/>
                <w:color w:val="auto"/>
                <w:sz w:val="24"/>
                <w:szCs w:val="24"/>
                <w:highlight w:val="none"/>
              </w:rPr>
            </w:pPr>
          </w:p>
        </w:tc>
        <w:tc>
          <w:tcPr>
            <w:tcW w:w="2335" w:type="dxa"/>
          </w:tcPr>
          <w:p w14:paraId="33074C27">
            <w:pPr>
              <w:spacing w:line="360" w:lineRule="auto"/>
              <w:jc w:val="center"/>
              <w:rPr>
                <w:rFonts w:ascii="宋体" w:hAnsi="宋体" w:eastAsia="宋体" w:cs="宋体"/>
                <w:color w:val="auto"/>
                <w:sz w:val="24"/>
                <w:szCs w:val="24"/>
                <w:highlight w:val="none"/>
              </w:rPr>
            </w:pPr>
          </w:p>
        </w:tc>
        <w:tc>
          <w:tcPr>
            <w:tcW w:w="2836" w:type="dxa"/>
          </w:tcPr>
          <w:p w14:paraId="33074C28">
            <w:pPr>
              <w:spacing w:line="360" w:lineRule="auto"/>
              <w:jc w:val="center"/>
              <w:rPr>
                <w:rFonts w:ascii="宋体" w:hAnsi="宋体" w:eastAsia="宋体" w:cs="宋体"/>
                <w:color w:val="auto"/>
                <w:sz w:val="24"/>
                <w:szCs w:val="24"/>
                <w:highlight w:val="none"/>
              </w:rPr>
            </w:pPr>
          </w:p>
        </w:tc>
        <w:tc>
          <w:tcPr>
            <w:tcW w:w="2176" w:type="dxa"/>
          </w:tcPr>
          <w:p w14:paraId="33074C29">
            <w:pPr>
              <w:spacing w:line="360" w:lineRule="auto"/>
              <w:jc w:val="center"/>
              <w:rPr>
                <w:rFonts w:ascii="宋体" w:hAnsi="宋体" w:eastAsia="宋体" w:cs="宋体"/>
                <w:color w:val="auto"/>
                <w:sz w:val="24"/>
                <w:szCs w:val="24"/>
                <w:highlight w:val="none"/>
              </w:rPr>
            </w:pPr>
          </w:p>
        </w:tc>
      </w:tr>
      <w:tr w14:paraId="3307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2B">
            <w:pPr>
              <w:spacing w:line="360" w:lineRule="auto"/>
              <w:jc w:val="center"/>
              <w:rPr>
                <w:rFonts w:ascii="宋体" w:hAnsi="宋体" w:eastAsia="宋体" w:cs="宋体"/>
                <w:color w:val="auto"/>
                <w:sz w:val="24"/>
                <w:szCs w:val="24"/>
                <w:highlight w:val="none"/>
              </w:rPr>
            </w:pPr>
          </w:p>
          <w:p w14:paraId="33074C2C">
            <w:pPr>
              <w:spacing w:line="360" w:lineRule="auto"/>
              <w:jc w:val="center"/>
              <w:rPr>
                <w:rFonts w:ascii="宋体" w:hAnsi="宋体" w:eastAsia="宋体" w:cs="宋体"/>
                <w:color w:val="auto"/>
                <w:sz w:val="24"/>
                <w:szCs w:val="24"/>
                <w:highlight w:val="none"/>
              </w:rPr>
            </w:pPr>
          </w:p>
        </w:tc>
        <w:tc>
          <w:tcPr>
            <w:tcW w:w="2335" w:type="dxa"/>
          </w:tcPr>
          <w:p w14:paraId="33074C2D">
            <w:pPr>
              <w:spacing w:line="360" w:lineRule="auto"/>
              <w:jc w:val="center"/>
              <w:rPr>
                <w:rFonts w:ascii="宋体" w:hAnsi="宋体" w:eastAsia="宋体" w:cs="宋体"/>
                <w:color w:val="auto"/>
                <w:sz w:val="24"/>
                <w:szCs w:val="24"/>
                <w:highlight w:val="none"/>
              </w:rPr>
            </w:pPr>
          </w:p>
        </w:tc>
        <w:tc>
          <w:tcPr>
            <w:tcW w:w="2836" w:type="dxa"/>
          </w:tcPr>
          <w:p w14:paraId="33074C2E">
            <w:pPr>
              <w:spacing w:line="360" w:lineRule="auto"/>
              <w:jc w:val="center"/>
              <w:rPr>
                <w:rFonts w:ascii="宋体" w:hAnsi="宋体" w:eastAsia="宋体" w:cs="宋体"/>
                <w:color w:val="auto"/>
                <w:sz w:val="24"/>
                <w:szCs w:val="24"/>
                <w:highlight w:val="none"/>
              </w:rPr>
            </w:pPr>
          </w:p>
        </w:tc>
        <w:tc>
          <w:tcPr>
            <w:tcW w:w="2176" w:type="dxa"/>
          </w:tcPr>
          <w:p w14:paraId="33074C2F">
            <w:pPr>
              <w:spacing w:line="360" w:lineRule="auto"/>
              <w:jc w:val="center"/>
              <w:rPr>
                <w:rFonts w:ascii="宋体" w:hAnsi="宋体" w:eastAsia="宋体" w:cs="宋体"/>
                <w:color w:val="auto"/>
                <w:sz w:val="24"/>
                <w:szCs w:val="24"/>
                <w:highlight w:val="none"/>
              </w:rPr>
            </w:pPr>
          </w:p>
        </w:tc>
      </w:tr>
      <w:tr w14:paraId="3307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31">
            <w:pPr>
              <w:spacing w:line="360" w:lineRule="auto"/>
              <w:jc w:val="center"/>
              <w:rPr>
                <w:rFonts w:ascii="宋体" w:hAnsi="宋体" w:eastAsia="宋体" w:cs="宋体"/>
                <w:color w:val="auto"/>
                <w:sz w:val="24"/>
                <w:szCs w:val="24"/>
                <w:highlight w:val="none"/>
              </w:rPr>
            </w:pPr>
          </w:p>
        </w:tc>
        <w:tc>
          <w:tcPr>
            <w:tcW w:w="2335" w:type="dxa"/>
          </w:tcPr>
          <w:p w14:paraId="33074C32">
            <w:pPr>
              <w:spacing w:line="360" w:lineRule="auto"/>
              <w:jc w:val="center"/>
              <w:rPr>
                <w:rFonts w:ascii="宋体" w:hAnsi="宋体" w:eastAsia="宋体" w:cs="宋体"/>
                <w:color w:val="auto"/>
                <w:sz w:val="24"/>
                <w:szCs w:val="24"/>
                <w:highlight w:val="none"/>
              </w:rPr>
            </w:pPr>
          </w:p>
        </w:tc>
        <w:tc>
          <w:tcPr>
            <w:tcW w:w="2836" w:type="dxa"/>
          </w:tcPr>
          <w:p w14:paraId="33074C33">
            <w:pPr>
              <w:spacing w:line="360" w:lineRule="auto"/>
              <w:jc w:val="center"/>
              <w:rPr>
                <w:rFonts w:ascii="宋体" w:hAnsi="宋体" w:eastAsia="宋体" w:cs="宋体"/>
                <w:color w:val="auto"/>
                <w:sz w:val="24"/>
                <w:szCs w:val="24"/>
                <w:highlight w:val="none"/>
              </w:rPr>
            </w:pPr>
          </w:p>
        </w:tc>
        <w:tc>
          <w:tcPr>
            <w:tcW w:w="2176" w:type="dxa"/>
          </w:tcPr>
          <w:p w14:paraId="33074C34">
            <w:pPr>
              <w:spacing w:line="360" w:lineRule="auto"/>
              <w:jc w:val="center"/>
              <w:rPr>
                <w:rFonts w:ascii="宋体" w:hAnsi="宋体" w:eastAsia="宋体" w:cs="宋体"/>
                <w:color w:val="auto"/>
                <w:sz w:val="24"/>
                <w:szCs w:val="24"/>
                <w:highlight w:val="none"/>
              </w:rPr>
            </w:pPr>
          </w:p>
        </w:tc>
      </w:tr>
      <w:tr w14:paraId="3307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3074C36">
            <w:pPr>
              <w:spacing w:line="360" w:lineRule="auto"/>
              <w:jc w:val="center"/>
              <w:rPr>
                <w:rFonts w:ascii="宋体" w:hAnsi="宋体" w:eastAsia="宋体" w:cs="宋体"/>
                <w:color w:val="auto"/>
                <w:sz w:val="24"/>
                <w:szCs w:val="24"/>
                <w:highlight w:val="none"/>
              </w:rPr>
            </w:pPr>
          </w:p>
        </w:tc>
        <w:tc>
          <w:tcPr>
            <w:tcW w:w="2335" w:type="dxa"/>
          </w:tcPr>
          <w:p w14:paraId="33074C37">
            <w:pPr>
              <w:spacing w:line="360" w:lineRule="auto"/>
              <w:jc w:val="center"/>
              <w:rPr>
                <w:rFonts w:ascii="宋体" w:hAnsi="宋体" w:eastAsia="宋体" w:cs="宋体"/>
                <w:color w:val="auto"/>
                <w:sz w:val="24"/>
                <w:szCs w:val="24"/>
                <w:highlight w:val="none"/>
              </w:rPr>
            </w:pPr>
          </w:p>
        </w:tc>
        <w:tc>
          <w:tcPr>
            <w:tcW w:w="2836" w:type="dxa"/>
          </w:tcPr>
          <w:p w14:paraId="33074C38">
            <w:pPr>
              <w:spacing w:line="360" w:lineRule="auto"/>
              <w:jc w:val="center"/>
              <w:rPr>
                <w:rFonts w:ascii="宋体" w:hAnsi="宋体" w:eastAsia="宋体" w:cs="宋体"/>
                <w:color w:val="auto"/>
                <w:sz w:val="24"/>
                <w:szCs w:val="24"/>
                <w:highlight w:val="none"/>
              </w:rPr>
            </w:pPr>
          </w:p>
        </w:tc>
        <w:tc>
          <w:tcPr>
            <w:tcW w:w="2176" w:type="dxa"/>
          </w:tcPr>
          <w:p w14:paraId="33074C39">
            <w:pPr>
              <w:spacing w:line="360" w:lineRule="auto"/>
              <w:jc w:val="center"/>
              <w:rPr>
                <w:rFonts w:ascii="宋体" w:hAnsi="宋体" w:eastAsia="宋体" w:cs="宋体"/>
                <w:color w:val="auto"/>
                <w:sz w:val="24"/>
                <w:szCs w:val="24"/>
                <w:highlight w:val="none"/>
              </w:rPr>
            </w:pPr>
          </w:p>
        </w:tc>
      </w:tr>
    </w:tbl>
    <w:p w14:paraId="33074C3B">
      <w:pPr>
        <w:spacing w:line="360" w:lineRule="auto"/>
        <w:rPr>
          <w:rFonts w:ascii="宋体" w:hAnsi="宋体" w:eastAsia="宋体" w:cs="宋体"/>
          <w:color w:val="auto"/>
          <w:sz w:val="24"/>
          <w:szCs w:val="24"/>
          <w:highlight w:val="none"/>
        </w:rPr>
      </w:pPr>
    </w:p>
    <w:p w14:paraId="33074C3C">
      <w:pPr>
        <w:spacing w:line="360" w:lineRule="auto"/>
        <w:rPr>
          <w:rFonts w:ascii="宋体" w:hAnsi="宋体" w:eastAsia="宋体" w:cs="宋体"/>
          <w:color w:val="auto"/>
          <w:sz w:val="24"/>
          <w:szCs w:val="24"/>
          <w:highlight w:val="none"/>
        </w:rPr>
      </w:pPr>
    </w:p>
    <w:p w14:paraId="33074C3D">
      <w:pPr>
        <w:spacing w:line="360" w:lineRule="auto"/>
        <w:rPr>
          <w:rFonts w:ascii="宋体" w:hAnsi="宋体" w:eastAsia="宋体" w:cs="宋体"/>
          <w:color w:val="auto"/>
          <w:sz w:val="24"/>
          <w:szCs w:val="24"/>
          <w:highlight w:val="none"/>
        </w:rPr>
      </w:pPr>
    </w:p>
    <w:p w14:paraId="33074C3E">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C3F">
      <w:pPr>
        <w:pStyle w:val="11"/>
        <w:ind w:left="1540" w:right="1540"/>
        <w:rPr>
          <w:color w:val="auto"/>
          <w:highlight w:val="none"/>
        </w:rPr>
      </w:pPr>
    </w:p>
    <w:p w14:paraId="33074C4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14:paraId="33074C41">
      <w:pPr>
        <w:spacing w:line="360" w:lineRule="auto"/>
        <w:rPr>
          <w:rFonts w:ascii="宋体" w:hAnsi="宋体" w:eastAsia="宋体" w:cs="宋体"/>
          <w:color w:val="auto"/>
          <w:sz w:val="24"/>
          <w:szCs w:val="24"/>
          <w:highlight w:val="none"/>
        </w:rPr>
      </w:pPr>
    </w:p>
    <w:p w14:paraId="33074C42">
      <w:pPr>
        <w:spacing w:line="360" w:lineRule="auto"/>
        <w:ind w:firstLine="5760" w:firstLineChars="24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3074C43">
      <w:pPr>
        <w:autoSpaceDE w:val="0"/>
        <w:autoSpaceDN w:val="0"/>
        <w:spacing w:line="360" w:lineRule="auto"/>
        <w:rPr>
          <w:rFonts w:ascii="Arial" w:hAnsi="Arial" w:eastAsia="黑体" w:cs="Arial"/>
          <w:color w:val="auto"/>
          <w:sz w:val="28"/>
          <w:szCs w:val="36"/>
          <w:highlight w:val="none"/>
        </w:rPr>
      </w:pPr>
      <w:r>
        <w:rPr>
          <w:rFonts w:ascii="Arial" w:hAnsi="Arial" w:eastAsia="宋体" w:cs="Arial"/>
          <w:b/>
          <w:color w:val="auto"/>
          <w:sz w:val="24"/>
          <w:szCs w:val="24"/>
          <w:highlight w:val="none"/>
        </w:rPr>
        <w:t>附件</w:t>
      </w:r>
      <w:r>
        <w:rPr>
          <w:rFonts w:hint="eastAsia" w:ascii="Arial" w:hAnsi="Arial" w:eastAsia="宋体" w:cs="Arial"/>
          <w:b/>
          <w:color w:val="auto"/>
          <w:sz w:val="24"/>
          <w:szCs w:val="24"/>
          <w:highlight w:val="none"/>
        </w:rPr>
        <w:t>七</w:t>
      </w:r>
    </w:p>
    <w:p w14:paraId="33074C44">
      <w:pPr>
        <w:spacing w:line="360" w:lineRule="auto"/>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无重大违法记录声明</w:t>
      </w:r>
    </w:p>
    <w:p w14:paraId="33074C4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南京医科大学：</w:t>
      </w:r>
    </w:p>
    <w:p w14:paraId="33074C46">
      <w:pPr>
        <w:spacing w:line="360" w:lineRule="auto"/>
        <w:ind w:firstLine="384" w:firstLineChars="16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我单位郑重声明：</w:t>
      </w:r>
    </w:p>
    <w:p w14:paraId="33074C47">
      <w:pPr>
        <w:shd w:val="clear" w:color="auto" w:fill="FFFFFF"/>
        <w:spacing w:line="360" w:lineRule="auto"/>
        <w:ind w:firstLine="352" w:firstLineChars="147"/>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我单位参加政府采购活动前3年内在经营活动中</w:t>
      </w:r>
      <w:r>
        <w:rPr>
          <w:rFonts w:hint="eastAsia" w:ascii="宋体" w:hAnsi="宋体" w:eastAsia="宋体" w:cs="宋体"/>
          <w:b/>
          <w:bCs/>
          <w:color w:val="auto"/>
          <w:sz w:val="24"/>
          <w:szCs w:val="24"/>
          <w:highlight w:val="none"/>
        </w:rPr>
        <w:t>没有</w:t>
      </w:r>
      <w:r>
        <w:rPr>
          <w:rFonts w:hint="eastAsia" w:ascii="宋体" w:hAnsi="宋体" w:eastAsia="宋体" w:cs="宋体"/>
          <w:b/>
          <w:color w:val="auto"/>
          <w:sz w:val="24"/>
          <w:szCs w:val="24"/>
          <w:highlight w:val="none"/>
        </w:rPr>
        <w:t>重大违法记录，且不是失信被执行人、重大税收违法案件当事人名单、政府采购严重违法失信行为记录名单的供应商。</w:t>
      </w:r>
    </w:p>
    <w:p w14:paraId="33074C48">
      <w:pPr>
        <w:spacing w:line="360" w:lineRule="auto"/>
        <w:ind w:firstLine="480" w:firstLineChars="200"/>
        <w:rPr>
          <w:rFonts w:ascii="宋体" w:hAnsi="宋体" w:eastAsia="宋体" w:cs="宋体"/>
          <w:color w:val="auto"/>
          <w:sz w:val="24"/>
          <w:szCs w:val="24"/>
          <w:highlight w:val="none"/>
        </w:rPr>
      </w:pPr>
    </w:p>
    <w:p w14:paraId="33074C49">
      <w:pPr>
        <w:spacing w:line="360" w:lineRule="auto"/>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（说明：政府采购法第二十二条第一款第五项所称重大违法记录，是指供应商因违法经营受到刑事处罚或者责令停产停业、吊销许可证或者执照、较大数额罚款等行政处罚。）</w:t>
      </w:r>
    </w:p>
    <w:p w14:paraId="33074C4A">
      <w:pPr>
        <w:pStyle w:val="11"/>
        <w:ind w:left="1540" w:right="1540"/>
        <w:rPr>
          <w:rFonts w:ascii="宋体" w:hAnsi="宋体" w:eastAsia="宋体" w:cs="宋体"/>
          <w:color w:val="auto"/>
          <w:sz w:val="24"/>
          <w:szCs w:val="24"/>
          <w:highlight w:val="none"/>
        </w:rPr>
      </w:pPr>
    </w:p>
    <w:p w14:paraId="33074C4B">
      <w:pPr>
        <w:pStyle w:val="11"/>
        <w:ind w:left="1540" w:right="1540"/>
        <w:rPr>
          <w:rFonts w:ascii="宋体" w:hAnsi="宋体" w:eastAsia="宋体" w:cs="宋体"/>
          <w:color w:val="auto"/>
          <w:sz w:val="24"/>
          <w:szCs w:val="24"/>
          <w:highlight w:val="none"/>
        </w:rPr>
      </w:pPr>
    </w:p>
    <w:p w14:paraId="33074C4C">
      <w:pPr>
        <w:pStyle w:val="11"/>
        <w:ind w:left="1540" w:right="1540"/>
        <w:rPr>
          <w:rFonts w:ascii="宋体" w:hAnsi="宋体" w:eastAsia="宋体" w:cs="宋体"/>
          <w:color w:val="auto"/>
          <w:sz w:val="24"/>
          <w:szCs w:val="24"/>
          <w:highlight w:val="none"/>
        </w:rPr>
      </w:pPr>
    </w:p>
    <w:p w14:paraId="33074C4D">
      <w:pPr>
        <w:spacing w:line="360" w:lineRule="auto"/>
        <w:rPr>
          <w:rFonts w:ascii="宋体" w:hAnsi="宋体" w:eastAsia="宋体" w:cs="宋体"/>
          <w:color w:val="auto"/>
          <w:sz w:val="24"/>
          <w:szCs w:val="24"/>
          <w:highlight w:val="none"/>
        </w:rPr>
      </w:pPr>
    </w:p>
    <w:p w14:paraId="33074C4E">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C4F">
      <w:pPr>
        <w:pStyle w:val="11"/>
        <w:ind w:left="1540" w:right="1540"/>
        <w:rPr>
          <w:color w:val="auto"/>
          <w:highlight w:val="none"/>
        </w:rPr>
      </w:pPr>
    </w:p>
    <w:p w14:paraId="33074C5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14:paraId="33074C51">
      <w:pPr>
        <w:spacing w:line="360" w:lineRule="auto"/>
        <w:rPr>
          <w:rFonts w:ascii="宋体" w:hAnsi="宋体" w:eastAsia="宋体" w:cs="宋体"/>
          <w:color w:val="auto"/>
          <w:sz w:val="24"/>
          <w:szCs w:val="24"/>
          <w:highlight w:val="none"/>
        </w:rPr>
      </w:pPr>
    </w:p>
    <w:p w14:paraId="33074C52">
      <w:pPr>
        <w:spacing w:line="360" w:lineRule="auto"/>
        <w:ind w:firstLine="5760" w:firstLineChars="24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3074C53">
      <w:pPr>
        <w:pStyle w:val="5"/>
        <w:spacing w:line="360" w:lineRule="auto"/>
        <w:rPr>
          <w:rFonts w:ascii="宋体" w:hAnsi="宋体" w:eastAsia="宋体" w:cs="宋体"/>
          <w:color w:val="auto"/>
          <w:sz w:val="24"/>
          <w:szCs w:val="24"/>
          <w:highlight w:val="none"/>
        </w:rPr>
      </w:pPr>
    </w:p>
    <w:bookmarkEnd w:id="67"/>
    <w:p w14:paraId="33074C54">
      <w:pPr>
        <w:pStyle w:val="36"/>
        <w:ind w:firstLine="0"/>
        <w:rPr>
          <w:rFonts w:ascii="宋体" w:hAnsi="宋体" w:cs="宋体"/>
          <w:color w:val="auto"/>
          <w:highlight w:val="none"/>
        </w:rPr>
      </w:pPr>
    </w:p>
    <w:p w14:paraId="33074C55">
      <w:pPr>
        <w:pStyle w:val="36"/>
        <w:ind w:firstLine="0"/>
        <w:rPr>
          <w:rFonts w:ascii="宋体" w:hAnsi="宋体" w:cs="宋体"/>
          <w:color w:val="auto"/>
          <w:highlight w:val="none"/>
        </w:rPr>
      </w:pPr>
    </w:p>
    <w:p w14:paraId="33074C56">
      <w:pPr>
        <w:pStyle w:val="36"/>
        <w:ind w:firstLine="0"/>
        <w:rPr>
          <w:rFonts w:ascii="宋体" w:hAnsi="宋体" w:cs="宋体"/>
          <w:color w:val="auto"/>
          <w:highlight w:val="none"/>
        </w:rPr>
      </w:pPr>
    </w:p>
    <w:p w14:paraId="33074C57">
      <w:pPr>
        <w:autoSpaceDE w:val="0"/>
        <w:autoSpaceDN w:val="0"/>
        <w:spacing w:after="0" w:line="360" w:lineRule="auto"/>
        <w:rPr>
          <w:rFonts w:ascii="Arial" w:hAnsi="Arial" w:eastAsia="宋体" w:cs="Arial"/>
          <w:b/>
          <w:color w:val="auto"/>
          <w:sz w:val="24"/>
          <w:szCs w:val="24"/>
          <w:highlight w:val="none"/>
        </w:rPr>
      </w:pPr>
      <w:bookmarkStart w:id="68" w:name="_Hlk60665956"/>
      <w:r>
        <w:rPr>
          <w:rFonts w:ascii="Arial" w:hAnsi="Arial" w:eastAsia="宋体" w:cs="Arial"/>
          <w:b/>
          <w:color w:val="auto"/>
          <w:sz w:val="24"/>
          <w:szCs w:val="24"/>
          <w:highlight w:val="none"/>
        </w:rPr>
        <w:t>附件</w:t>
      </w:r>
      <w:r>
        <w:rPr>
          <w:rFonts w:hint="eastAsia" w:ascii="Arial" w:hAnsi="Arial" w:eastAsia="宋体" w:cs="Arial"/>
          <w:b/>
          <w:color w:val="auto"/>
          <w:sz w:val="24"/>
          <w:szCs w:val="24"/>
          <w:highlight w:val="none"/>
        </w:rPr>
        <w:t>八</w:t>
      </w:r>
    </w:p>
    <w:p w14:paraId="33074C58">
      <w:pPr>
        <w:spacing w:line="360" w:lineRule="auto"/>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具备履行合同所必需的设备和专业技术能力声明</w:t>
      </w:r>
    </w:p>
    <w:p w14:paraId="33074C59">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南京医科大学：</w:t>
      </w:r>
    </w:p>
    <w:p w14:paraId="33074C5A">
      <w:pPr>
        <w:spacing w:line="460" w:lineRule="exact"/>
        <w:ind w:firstLine="49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（投标人名称）郑重声明：</w:t>
      </w:r>
    </w:p>
    <w:p w14:paraId="33074C5B">
      <w:pPr>
        <w:spacing w:line="460" w:lineRule="exact"/>
        <w:ind w:firstLine="49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我公司具备履行本项采购合同所必需的设备和专业技术能力，为履行本项采购合同我单位具备如下主要设备和主要专业技术能力：</w:t>
      </w:r>
    </w:p>
    <w:p w14:paraId="33074C5C">
      <w:pPr>
        <w:spacing w:line="460" w:lineRule="exact"/>
        <w:ind w:firstLine="49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主要设备有：                         </w:t>
      </w:r>
    </w:p>
    <w:p w14:paraId="33074C5D">
      <w:pPr>
        <w:spacing w:line="460" w:lineRule="exact"/>
        <w:ind w:firstLine="49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主要专业技术能力有：                 </w:t>
      </w:r>
    </w:p>
    <w:p w14:paraId="33074C5E">
      <w:pPr>
        <w:spacing w:line="360" w:lineRule="auto"/>
        <w:rPr>
          <w:rFonts w:ascii="宋体" w:hAnsi="宋体" w:eastAsia="宋体" w:cs="宋体"/>
          <w:color w:val="auto"/>
          <w:sz w:val="24"/>
          <w:szCs w:val="24"/>
          <w:highlight w:val="none"/>
        </w:rPr>
      </w:pPr>
    </w:p>
    <w:p w14:paraId="33074C5F">
      <w:pPr>
        <w:spacing w:line="360" w:lineRule="auto"/>
        <w:rPr>
          <w:rFonts w:ascii="宋体" w:hAnsi="宋体" w:eastAsia="宋体" w:cs="宋体"/>
          <w:color w:val="auto"/>
          <w:sz w:val="24"/>
          <w:szCs w:val="24"/>
          <w:highlight w:val="none"/>
        </w:rPr>
      </w:pPr>
    </w:p>
    <w:p w14:paraId="33074C60">
      <w:pPr>
        <w:spacing w:line="360" w:lineRule="auto"/>
        <w:rPr>
          <w:rFonts w:ascii="宋体" w:hAnsi="宋体" w:eastAsia="宋体" w:cs="宋体"/>
          <w:color w:val="auto"/>
          <w:sz w:val="24"/>
          <w:szCs w:val="24"/>
          <w:highlight w:val="none"/>
        </w:rPr>
      </w:pPr>
    </w:p>
    <w:p w14:paraId="33074C61">
      <w:pPr>
        <w:spacing w:line="360" w:lineRule="auto"/>
        <w:rPr>
          <w:rFonts w:ascii="宋体" w:hAnsi="宋体" w:eastAsia="宋体" w:cs="宋体"/>
          <w:color w:val="auto"/>
          <w:sz w:val="24"/>
          <w:szCs w:val="24"/>
          <w:highlight w:val="none"/>
        </w:rPr>
      </w:pPr>
    </w:p>
    <w:p w14:paraId="33074C62">
      <w:pPr>
        <w:spacing w:line="360" w:lineRule="auto"/>
        <w:rPr>
          <w:rFonts w:ascii="宋体" w:hAnsi="宋体" w:eastAsia="宋体" w:cs="宋体"/>
          <w:color w:val="auto"/>
          <w:sz w:val="24"/>
          <w:szCs w:val="24"/>
          <w:highlight w:val="none"/>
        </w:rPr>
      </w:pPr>
    </w:p>
    <w:p w14:paraId="33074C6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C64">
      <w:pPr>
        <w:pStyle w:val="11"/>
        <w:ind w:left="1540" w:right="1540"/>
        <w:rPr>
          <w:color w:val="auto"/>
          <w:highlight w:val="none"/>
        </w:rPr>
      </w:pPr>
    </w:p>
    <w:p w14:paraId="33074C6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14:paraId="33074C66">
      <w:pPr>
        <w:spacing w:line="360" w:lineRule="auto"/>
        <w:rPr>
          <w:rFonts w:ascii="宋体" w:hAnsi="宋体" w:eastAsia="宋体" w:cs="宋体"/>
          <w:color w:val="auto"/>
          <w:sz w:val="24"/>
          <w:szCs w:val="24"/>
          <w:highlight w:val="none"/>
        </w:rPr>
      </w:pPr>
    </w:p>
    <w:p w14:paraId="33074C67">
      <w:pPr>
        <w:spacing w:line="360" w:lineRule="auto"/>
        <w:ind w:firstLine="5760" w:firstLineChars="24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3074C68">
      <w:pPr>
        <w:spacing w:line="360" w:lineRule="auto"/>
        <w:rPr>
          <w:rFonts w:ascii="宋体" w:hAnsi="宋体" w:eastAsia="宋体" w:cs="宋体"/>
          <w:color w:val="auto"/>
          <w:sz w:val="24"/>
          <w:szCs w:val="24"/>
          <w:highlight w:val="none"/>
        </w:rPr>
      </w:pPr>
    </w:p>
    <w:p w14:paraId="33074C69">
      <w:pPr>
        <w:spacing w:line="460" w:lineRule="exact"/>
        <w:ind w:firstLine="492"/>
        <w:rPr>
          <w:rFonts w:ascii="宋体" w:hAnsi="宋体" w:eastAsia="宋体" w:cs="宋体"/>
          <w:color w:val="auto"/>
          <w:sz w:val="24"/>
          <w:szCs w:val="24"/>
          <w:highlight w:val="none"/>
        </w:rPr>
      </w:pPr>
    </w:p>
    <w:p w14:paraId="33074C6A">
      <w:pPr>
        <w:spacing w:line="460" w:lineRule="exact"/>
        <w:ind w:firstLine="492"/>
        <w:rPr>
          <w:rFonts w:ascii="宋体" w:hAnsi="宋体" w:eastAsia="宋体" w:cs="宋体"/>
          <w:color w:val="auto"/>
          <w:sz w:val="24"/>
          <w:szCs w:val="24"/>
          <w:highlight w:val="none"/>
        </w:rPr>
      </w:pPr>
    </w:p>
    <w:p w14:paraId="33074C6B">
      <w:pPr>
        <w:autoSpaceDE w:val="0"/>
        <w:autoSpaceDN w:val="0"/>
        <w:spacing w:after="0" w:line="360" w:lineRule="auto"/>
        <w:rPr>
          <w:rFonts w:ascii="Arial" w:hAnsi="Arial" w:eastAsia="宋体" w:cs="Arial"/>
          <w:b/>
          <w:color w:val="auto"/>
          <w:sz w:val="24"/>
          <w:szCs w:val="24"/>
          <w:highlight w:val="none"/>
        </w:rPr>
      </w:pPr>
    </w:p>
    <w:p w14:paraId="33074C6C">
      <w:pPr>
        <w:autoSpaceDE w:val="0"/>
        <w:autoSpaceDN w:val="0"/>
        <w:spacing w:after="0" w:line="360" w:lineRule="auto"/>
        <w:rPr>
          <w:rFonts w:ascii="Arial" w:hAnsi="Arial" w:eastAsia="宋体" w:cs="Arial"/>
          <w:b/>
          <w:color w:val="auto"/>
          <w:sz w:val="24"/>
          <w:szCs w:val="24"/>
          <w:highlight w:val="none"/>
        </w:rPr>
      </w:pPr>
      <w:r>
        <w:rPr>
          <w:rFonts w:ascii="Arial" w:hAnsi="Arial" w:eastAsia="宋体" w:cs="Arial"/>
          <w:b/>
          <w:color w:val="auto"/>
          <w:sz w:val="24"/>
          <w:szCs w:val="24"/>
          <w:highlight w:val="none"/>
        </w:rPr>
        <w:t>附件</w:t>
      </w:r>
      <w:r>
        <w:rPr>
          <w:rFonts w:hint="eastAsia" w:ascii="Arial" w:hAnsi="Arial" w:eastAsia="宋体" w:cs="Arial"/>
          <w:b/>
          <w:color w:val="auto"/>
          <w:sz w:val="24"/>
          <w:szCs w:val="24"/>
          <w:highlight w:val="none"/>
        </w:rPr>
        <w:t>九</w:t>
      </w:r>
    </w:p>
    <w:p w14:paraId="33074C6D">
      <w:pPr>
        <w:spacing w:line="360" w:lineRule="auto"/>
        <w:jc w:val="center"/>
        <w:rPr>
          <w:rFonts w:ascii="宋体" w:hAnsi="宋体" w:eastAsia="宋体" w:cs="宋体"/>
          <w:b/>
          <w:color w:val="auto"/>
          <w:sz w:val="28"/>
          <w:szCs w:val="28"/>
          <w:highlight w:val="none"/>
        </w:rPr>
      </w:pPr>
      <w:bookmarkStart w:id="69" w:name="_Toc7690"/>
      <w:bookmarkStart w:id="70" w:name="_Toc896"/>
      <w:r>
        <w:rPr>
          <w:rFonts w:hint="eastAsia" w:ascii="宋体" w:hAnsi="宋体" w:eastAsia="宋体" w:cs="宋体"/>
          <w:b/>
          <w:color w:val="auto"/>
          <w:sz w:val="28"/>
          <w:szCs w:val="28"/>
          <w:highlight w:val="none"/>
        </w:rPr>
        <w:t>中小企业声明函（货物）</w:t>
      </w:r>
      <w:bookmarkEnd w:id="69"/>
      <w:bookmarkEnd w:id="70"/>
    </w:p>
    <w:p w14:paraId="33074C6E">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本公司（联合体）郑重声明，根据《政府采购促进中小企业发展管理办法》（财库﹝2020﹞46 号）的规定，本公司参加</w:t>
      </w:r>
      <w:r>
        <w:rPr>
          <w:rFonts w:hint="eastAsia" w:ascii="宋体" w:hAnsi="宋体" w:eastAsia="宋体" w:cs="宋体"/>
          <w:snapToGrid w:val="0"/>
          <w:color w:val="auto"/>
          <w:sz w:val="24"/>
          <w:szCs w:val="24"/>
          <w:highlight w:val="none"/>
          <w:u w:val="single"/>
        </w:rPr>
        <w:t xml:space="preserve">  [单位名称]  </w:t>
      </w:r>
      <w:r>
        <w:rPr>
          <w:rFonts w:hint="eastAsia" w:ascii="宋体" w:hAnsi="宋体" w:eastAsia="宋体" w:cs="宋体"/>
          <w:snapToGrid w:val="0"/>
          <w:color w:val="auto"/>
          <w:sz w:val="24"/>
          <w:szCs w:val="24"/>
          <w:highlight w:val="none"/>
        </w:rPr>
        <w:t>的</w:t>
      </w:r>
      <w:r>
        <w:rPr>
          <w:rFonts w:hint="eastAsia" w:ascii="宋体" w:hAnsi="宋体" w:eastAsia="宋体" w:cs="宋体"/>
          <w:snapToGrid w:val="0"/>
          <w:color w:val="auto"/>
          <w:sz w:val="24"/>
          <w:szCs w:val="24"/>
          <w:highlight w:val="none"/>
          <w:u w:val="single"/>
        </w:rPr>
        <w:t xml:space="preserve">  [项目名称]  </w:t>
      </w:r>
      <w:r>
        <w:rPr>
          <w:rFonts w:hint="eastAsia" w:ascii="宋体" w:hAnsi="宋体" w:eastAsia="宋体" w:cs="宋体"/>
          <w:snapToGrid w:val="0"/>
          <w:color w:val="auto"/>
          <w:sz w:val="24"/>
          <w:szCs w:val="24"/>
          <w:highlight w:val="none"/>
        </w:rPr>
        <w:t>采购活动，提供的货物全部由符合政策要求的中小企业制造。根据《工业和信息化部、国家统计局、国家发展和改革委员会、财政部关于印发中小企业划型标准规定的通知》(工信部联企业[2011]300号)的规定，相关企业的具体情况如下：</w:t>
      </w:r>
    </w:p>
    <w:p w14:paraId="33074C6F">
      <w:pPr>
        <w:pStyle w:val="42"/>
        <w:tabs>
          <w:tab w:val="left" w:pos="1184"/>
          <w:tab w:val="left" w:pos="1384"/>
          <w:tab w:val="left" w:pos="4562"/>
          <w:tab w:val="left" w:pos="6803"/>
        </w:tabs>
        <w:autoSpaceDE w:val="0"/>
        <w:autoSpaceDN w:val="0"/>
        <w:spacing w:line="360" w:lineRule="auto"/>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u w:val="single"/>
        </w:rPr>
        <w:t xml:space="preserve"> [标的名称] </w:t>
      </w:r>
      <w:r>
        <w:rPr>
          <w:rFonts w:hint="eastAsia" w:ascii="宋体" w:hAnsi="宋体" w:eastAsia="宋体" w:cs="宋体"/>
          <w:snapToGrid w:val="0"/>
          <w:color w:val="auto"/>
          <w:sz w:val="24"/>
          <w:szCs w:val="24"/>
          <w:highlight w:val="none"/>
        </w:rPr>
        <w:t xml:space="preserve"> ，属于</w:t>
      </w:r>
      <w:r>
        <w:rPr>
          <w:rFonts w:hint="eastAsia" w:ascii="宋体" w:hAnsi="宋体" w:eastAsia="宋体" w:cs="宋体"/>
          <w:snapToGrid w:val="0"/>
          <w:color w:val="auto"/>
          <w:sz w:val="24"/>
          <w:szCs w:val="24"/>
          <w:highlight w:val="none"/>
          <w:u w:val="single"/>
        </w:rPr>
        <w:t xml:space="preserve"> [采购文件中明确的所属行业] </w:t>
      </w:r>
      <w:r>
        <w:rPr>
          <w:rFonts w:hint="eastAsia" w:ascii="宋体" w:hAnsi="宋体" w:eastAsia="宋体" w:cs="宋体"/>
          <w:snapToGrid w:val="0"/>
          <w:color w:val="auto"/>
          <w:sz w:val="24"/>
          <w:szCs w:val="24"/>
          <w:highlight w:val="none"/>
        </w:rPr>
        <w:t>行业；制造商为</w:t>
      </w:r>
      <w:r>
        <w:rPr>
          <w:rFonts w:hint="eastAsia" w:ascii="宋体" w:hAnsi="宋体" w:eastAsia="宋体" w:cs="宋体"/>
          <w:snapToGrid w:val="0"/>
          <w:color w:val="auto"/>
          <w:sz w:val="24"/>
          <w:szCs w:val="24"/>
          <w:highlight w:val="none"/>
          <w:u w:val="single"/>
        </w:rPr>
        <w:t xml:space="preserve"> [企业名称] </w:t>
      </w:r>
      <w:r>
        <w:rPr>
          <w:rFonts w:hint="eastAsia" w:ascii="宋体" w:hAnsi="宋体" w:eastAsia="宋体" w:cs="宋体"/>
          <w:snapToGrid w:val="0"/>
          <w:color w:val="auto"/>
          <w:sz w:val="24"/>
          <w:szCs w:val="24"/>
          <w:highlight w:val="none"/>
        </w:rPr>
        <w:t>，从业人员</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人，营业收入为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万元，资产总额为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tab/>
      </w:r>
      <w:r>
        <w:rPr>
          <w:rFonts w:hint="eastAsia" w:ascii="宋体" w:hAnsi="宋体" w:eastAsia="宋体" w:cs="宋体"/>
          <w:snapToGrid w:val="0"/>
          <w:color w:val="auto"/>
          <w:sz w:val="24"/>
          <w:szCs w:val="24"/>
          <w:highlight w:val="none"/>
        </w:rPr>
        <w:t>万元，属于</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中型企业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小型企业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微型企业  </w:t>
      </w:r>
      <w:r>
        <w:rPr>
          <w:rFonts w:hint="eastAsia" w:ascii="宋体" w:hAnsi="宋体" w:eastAsia="宋体" w:cs="宋体"/>
          <w:snapToGrid w:val="0"/>
          <w:color w:val="auto"/>
          <w:sz w:val="24"/>
          <w:szCs w:val="24"/>
          <w:highlight w:val="none"/>
        </w:rPr>
        <w:t>；</w:t>
      </w:r>
    </w:p>
    <w:p w14:paraId="33074C70">
      <w:pPr>
        <w:pStyle w:val="42"/>
        <w:tabs>
          <w:tab w:val="left" w:pos="1184"/>
          <w:tab w:val="left" w:pos="1384"/>
          <w:tab w:val="left" w:pos="4562"/>
          <w:tab w:val="left" w:pos="6803"/>
        </w:tabs>
        <w:autoSpaceDE w:val="0"/>
        <w:autoSpaceDN w:val="0"/>
        <w:spacing w:line="360" w:lineRule="auto"/>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w:t>
      </w:r>
      <w:r>
        <w:rPr>
          <w:rFonts w:hint="eastAsia" w:ascii="宋体" w:hAnsi="宋体" w:eastAsia="宋体" w:cs="宋体"/>
          <w:snapToGrid w:val="0"/>
          <w:color w:val="auto"/>
          <w:sz w:val="24"/>
          <w:szCs w:val="24"/>
          <w:highlight w:val="none"/>
          <w:u w:val="single"/>
        </w:rPr>
        <w:t xml:space="preserve">[标的名称] </w:t>
      </w:r>
      <w:r>
        <w:rPr>
          <w:rFonts w:hint="eastAsia" w:ascii="宋体" w:hAnsi="宋体" w:eastAsia="宋体" w:cs="宋体"/>
          <w:snapToGrid w:val="0"/>
          <w:color w:val="auto"/>
          <w:sz w:val="24"/>
          <w:szCs w:val="24"/>
          <w:highlight w:val="none"/>
        </w:rPr>
        <w:t xml:space="preserve"> ，属于</w:t>
      </w:r>
      <w:r>
        <w:rPr>
          <w:rFonts w:hint="eastAsia" w:ascii="宋体" w:hAnsi="宋体" w:eastAsia="宋体" w:cs="宋体"/>
          <w:snapToGrid w:val="0"/>
          <w:color w:val="auto"/>
          <w:sz w:val="24"/>
          <w:szCs w:val="24"/>
          <w:highlight w:val="none"/>
          <w:u w:val="single"/>
        </w:rPr>
        <w:t xml:space="preserve"> [采购文件中明确的所属行业] </w:t>
      </w:r>
      <w:r>
        <w:rPr>
          <w:rFonts w:hint="eastAsia" w:ascii="宋体" w:hAnsi="宋体" w:eastAsia="宋体" w:cs="宋体"/>
          <w:snapToGrid w:val="0"/>
          <w:color w:val="auto"/>
          <w:sz w:val="24"/>
          <w:szCs w:val="24"/>
          <w:highlight w:val="none"/>
        </w:rPr>
        <w:t>行业；制造商为</w:t>
      </w:r>
      <w:r>
        <w:rPr>
          <w:rFonts w:hint="eastAsia" w:ascii="宋体" w:hAnsi="宋体" w:eastAsia="宋体" w:cs="宋体"/>
          <w:snapToGrid w:val="0"/>
          <w:color w:val="auto"/>
          <w:sz w:val="24"/>
          <w:szCs w:val="24"/>
          <w:highlight w:val="none"/>
          <w:u w:val="single"/>
        </w:rPr>
        <w:t xml:space="preserve"> [企业名称] </w:t>
      </w:r>
      <w:r>
        <w:rPr>
          <w:rFonts w:hint="eastAsia" w:ascii="宋体" w:hAnsi="宋体" w:eastAsia="宋体" w:cs="宋体"/>
          <w:snapToGrid w:val="0"/>
          <w:color w:val="auto"/>
          <w:sz w:val="24"/>
          <w:szCs w:val="24"/>
          <w:highlight w:val="none"/>
        </w:rPr>
        <w:t>，从业人员</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人，营业收入为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万元，资产总额为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tab/>
      </w:r>
      <w:r>
        <w:rPr>
          <w:rFonts w:hint="eastAsia" w:ascii="宋体" w:hAnsi="宋体" w:eastAsia="宋体" w:cs="宋体"/>
          <w:snapToGrid w:val="0"/>
          <w:color w:val="auto"/>
          <w:sz w:val="24"/>
          <w:szCs w:val="24"/>
          <w:highlight w:val="none"/>
        </w:rPr>
        <w:t>万元，属于</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中型企业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小型企业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微型企业  </w:t>
      </w:r>
      <w:r>
        <w:rPr>
          <w:rFonts w:hint="eastAsia" w:ascii="宋体" w:hAnsi="宋体" w:eastAsia="宋体" w:cs="宋体"/>
          <w:snapToGrid w:val="0"/>
          <w:color w:val="auto"/>
          <w:sz w:val="24"/>
          <w:szCs w:val="24"/>
          <w:highlight w:val="none"/>
        </w:rPr>
        <w:t>；</w:t>
      </w:r>
    </w:p>
    <w:p w14:paraId="33074C71">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33074C72">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以上企业，不属于大企业的分支机构，不存在控股股东为大企业的情形，也不存在与大企业的负责人为同一人的情形。</w:t>
      </w:r>
    </w:p>
    <w:p w14:paraId="33074C73">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如组成联合体或者接受分包合同的中小企业与联合体内的其他企业，分包企业之间不存在直接控制、管理关系；</w:t>
      </w:r>
    </w:p>
    <w:p w14:paraId="33074C74">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本企业对上述声明内容的真实性负责。如有虚假，将依法承担相应责任。</w:t>
      </w:r>
    </w:p>
    <w:p w14:paraId="33074C75">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p>
    <w:p w14:paraId="33074C76">
      <w:pPr>
        <w:pStyle w:val="8"/>
        <w:adjustRightInd w:val="0"/>
        <w:snapToGrid w:val="0"/>
        <w:spacing w:line="300" w:lineRule="auto"/>
        <w:rPr>
          <w:rFonts w:ascii="宋体" w:hAnsi="宋体" w:eastAsia="宋体" w:cs="宋体"/>
          <w:snapToGrid w:val="0"/>
          <w:color w:val="auto"/>
          <w:sz w:val="24"/>
          <w:szCs w:val="24"/>
          <w:highlight w:val="none"/>
        </w:rPr>
      </w:pPr>
    </w:p>
    <w:p w14:paraId="33074C77">
      <w:pPr>
        <w:spacing w:line="360" w:lineRule="auto"/>
        <w:ind w:left="5500" w:leftChars="2500"/>
        <w:rPr>
          <w:rFonts w:ascii="宋体" w:hAnsi="宋体" w:eastAsia="宋体" w:cs="宋体"/>
          <w:color w:val="auto"/>
          <w:sz w:val="24"/>
          <w:szCs w:val="24"/>
          <w:highlight w:val="none"/>
        </w:rPr>
      </w:pPr>
    </w:p>
    <w:p w14:paraId="33074C78">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C79">
      <w:pPr>
        <w:spacing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投标人名称（盖章）：</w:t>
      </w:r>
    </w:p>
    <w:p w14:paraId="33074C7A">
      <w:pPr>
        <w:spacing w:line="360" w:lineRule="auto"/>
        <w:ind w:firstLine="5040" w:firstLineChars="2100"/>
        <w:rPr>
          <w:rFonts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日  期：</w:t>
      </w:r>
      <w:bookmarkEnd w:id="68"/>
      <w:r>
        <w:rPr>
          <w:rFonts w:hint="eastAsia" w:ascii="宋体" w:hAnsi="宋体" w:eastAsia="宋体" w:cs="宋体"/>
          <w:color w:val="auto"/>
          <w:sz w:val="24"/>
          <w:szCs w:val="24"/>
          <w:highlight w:val="none"/>
        </w:rPr>
        <w:t xml:space="preserve">  年  月  日</w:t>
      </w:r>
    </w:p>
    <w:p w14:paraId="33074C7B">
      <w:pPr>
        <w:pStyle w:val="36"/>
        <w:ind w:firstLine="0"/>
        <w:rPr>
          <w:rFonts w:ascii="宋体" w:hAnsi="宋体" w:cs="宋体"/>
          <w:color w:val="auto"/>
          <w:highlight w:val="none"/>
        </w:rPr>
      </w:pPr>
      <w:r>
        <w:rPr>
          <w:rFonts w:hint="eastAsia" w:ascii="宋体" w:hAnsi="宋体" w:cs="宋体"/>
          <w:color w:val="auto"/>
          <w:highlight w:val="none"/>
        </w:rPr>
        <w:br w:type="page"/>
      </w:r>
    </w:p>
    <w:p w14:paraId="33074C7C">
      <w:pPr>
        <w:pStyle w:val="36"/>
        <w:ind w:firstLine="0"/>
        <w:rPr>
          <w:rFonts w:ascii="宋体" w:hAnsi="宋体" w:cs="宋体"/>
          <w:color w:val="auto"/>
          <w:highlight w:val="none"/>
        </w:rPr>
      </w:pPr>
      <w:r>
        <w:rPr>
          <w:rFonts w:cs="Arial"/>
          <w:b/>
          <w:color w:val="auto"/>
          <w:highlight w:val="none"/>
        </w:rPr>
        <w:t>附件</w:t>
      </w:r>
      <w:r>
        <w:rPr>
          <w:rFonts w:hint="eastAsia" w:cs="Arial"/>
          <w:b/>
          <w:color w:val="auto"/>
          <w:highlight w:val="none"/>
        </w:rPr>
        <w:t>十</w:t>
      </w:r>
    </w:p>
    <w:p w14:paraId="33074C7D">
      <w:pPr>
        <w:spacing w:line="360" w:lineRule="auto"/>
        <w:jc w:val="center"/>
        <w:rPr>
          <w:rFonts w:ascii="宋体" w:hAnsi="宋体" w:eastAsia="宋体" w:cs="宋体"/>
          <w:b/>
          <w:color w:val="auto"/>
          <w:sz w:val="28"/>
          <w:szCs w:val="28"/>
          <w:highlight w:val="none"/>
        </w:rPr>
      </w:pPr>
      <w:bookmarkStart w:id="71" w:name="_Toc4019"/>
      <w:bookmarkStart w:id="72" w:name="_Toc1046"/>
      <w:r>
        <w:rPr>
          <w:rFonts w:hint="eastAsia" w:ascii="宋体" w:hAnsi="宋体" w:eastAsia="宋体" w:cs="宋体"/>
          <w:b/>
          <w:color w:val="auto"/>
          <w:sz w:val="28"/>
          <w:szCs w:val="28"/>
          <w:highlight w:val="none"/>
        </w:rPr>
        <w:t>残疾人福利性单位声明函</w:t>
      </w:r>
      <w:bookmarkEnd w:id="71"/>
      <w:bookmarkEnd w:id="72"/>
    </w:p>
    <w:p w14:paraId="33074C7E">
      <w:pPr>
        <w:spacing w:before="48" w:beforeLines="20"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_</w:t>
      </w:r>
      <w:bookmarkStart w:id="73" w:name="_Hlk60666078"/>
      <w:r>
        <w:rPr>
          <w:rFonts w:hint="eastAsia" w:ascii="宋体" w:hAnsi="宋体" w:eastAsia="宋体" w:cs="宋体"/>
          <w:snapToGrid w:val="0"/>
          <w:color w:val="auto"/>
          <w:sz w:val="24"/>
          <w:szCs w:val="24"/>
          <w:highlight w:val="none"/>
          <w:u w:val="single"/>
        </w:rPr>
        <w:t xml:space="preserve"> [采购人名称] </w:t>
      </w:r>
      <w:bookmarkEnd w:id="73"/>
      <w:r>
        <w:rPr>
          <w:rFonts w:hint="eastAsia" w:ascii="宋体" w:hAnsi="宋体" w:eastAsia="宋体" w:cs="宋体"/>
          <w:color w:val="auto"/>
          <w:sz w:val="24"/>
          <w:szCs w:val="24"/>
          <w:highlight w:val="none"/>
          <w:u w:val="single"/>
        </w:rPr>
        <w:t>_</w:t>
      </w:r>
      <w:r>
        <w:rPr>
          <w:rFonts w:hint="eastAsia" w:ascii="宋体" w:hAnsi="宋体" w:eastAsia="宋体" w:cs="宋体"/>
          <w:color w:val="auto"/>
          <w:sz w:val="24"/>
          <w:szCs w:val="24"/>
          <w:highlight w:val="none"/>
        </w:rPr>
        <w:t>单位的采购文件编号为</w:t>
      </w:r>
      <w:r>
        <w:rPr>
          <w:rFonts w:hint="eastAsia" w:ascii="宋体" w:hAnsi="宋体" w:eastAsia="宋体" w:cs="宋体"/>
          <w:color w:val="auto"/>
          <w:sz w:val="24"/>
          <w:szCs w:val="24"/>
          <w:highlight w:val="none"/>
          <w:u w:val="single"/>
        </w:rPr>
        <w:t>_</w:t>
      </w:r>
      <w:bookmarkStart w:id="74" w:name="_Hlk60666088"/>
      <w:r>
        <w:rPr>
          <w:rFonts w:hint="eastAsia" w:ascii="宋体" w:hAnsi="宋体" w:eastAsia="宋体" w:cs="宋体"/>
          <w:snapToGrid w:val="0"/>
          <w:color w:val="auto"/>
          <w:sz w:val="24"/>
          <w:szCs w:val="24"/>
          <w:highlight w:val="none"/>
          <w:u w:val="single"/>
        </w:rPr>
        <w:t xml:space="preserve"> [项目编号] </w:t>
      </w:r>
      <w:bookmarkEnd w:id="74"/>
      <w:r>
        <w:rPr>
          <w:rFonts w:hint="eastAsia" w:ascii="宋体" w:hAnsi="宋体" w:eastAsia="宋体" w:cs="宋体"/>
          <w:color w:val="auto"/>
          <w:sz w:val="24"/>
          <w:szCs w:val="24"/>
          <w:highlight w:val="none"/>
          <w:u w:val="single"/>
        </w:rPr>
        <w:t>_</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 xml:space="preserve">  </w:t>
      </w:r>
      <w:bookmarkStart w:id="75" w:name="_Hlk60666094"/>
      <w:r>
        <w:rPr>
          <w:rFonts w:hint="eastAsia" w:ascii="宋体" w:hAnsi="宋体" w:eastAsia="宋体" w:cs="宋体"/>
          <w:snapToGrid w:val="0"/>
          <w:color w:val="auto"/>
          <w:sz w:val="24"/>
          <w:szCs w:val="24"/>
          <w:highlight w:val="none"/>
          <w:u w:val="single"/>
        </w:rPr>
        <w:t>[项目名称]</w:t>
      </w:r>
      <w:bookmarkEnd w:id="75"/>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项目采购活动提供全部由本单位制造的货物（全部由本单位承担工程/提供服务），或者提供其他残疾人福利性单位</w:t>
      </w:r>
      <w:bookmarkStart w:id="76" w:name="_Hlk60666108"/>
      <w:r>
        <w:rPr>
          <w:rFonts w:hint="eastAsia" w:ascii="宋体" w:hAnsi="宋体" w:eastAsia="宋体" w:cs="宋体"/>
          <w:color w:val="auto"/>
          <w:sz w:val="24"/>
          <w:szCs w:val="24"/>
          <w:highlight w:val="none"/>
          <w:u w:val="single"/>
        </w:rPr>
        <w:t xml:space="preserve">  [残疾人福利性单位名称]  </w:t>
      </w:r>
      <w:bookmarkEnd w:id="76"/>
      <w:r>
        <w:rPr>
          <w:rFonts w:hint="eastAsia" w:ascii="宋体" w:hAnsi="宋体" w:eastAsia="宋体" w:cs="宋体"/>
          <w:color w:val="auto"/>
          <w:sz w:val="24"/>
          <w:szCs w:val="24"/>
          <w:highlight w:val="none"/>
        </w:rPr>
        <w:t>制造的货物（不包括使用非残疾人福利性单位注册商标的货物）。</w:t>
      </w:r>
    </w:p>
    <w:p w14:paraId="33074C7F">
      <w:pPr>
        <w:spacing w:before="48" w:beforeLines="20"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33074C80">
      <w:pPr>
        <w:spacing w:before="48" w:beforeLines="20" w:line="360" w:lineRule="auto"/>
        <w:ind w:firstLine="480" w:firstLineChars="200"/>
        <w:rPr>
          <w:rFonts w:ascii="宋体" w:hAnsi="宋体" w:eastAsia="宋体" w:cs="宋体"/>
          <w:color w:val="auto"/>
          <w:sz w:val="24"/>
          <w:szCs w:val="24"/>
          <w:highlight w:val="none"/>
        </w:rPr>
      </w:pPr>
    </w:p>
    <w:p w14:paraId="33074C81">
      <w:pPr>
        <w:spacing w:line="588" w:lineRule="exact"/>
        <w:ind w:firstLine="480" w:firstLineChars="200"/>
        <w:rPr>
          <w:rFonts w:ascii="宋体" w:hAnsi="宋体" w:eastAsia="宋体" w:cs="宋体"/>
          <w:b/>
          <w:bCs/>
          <w:color w:val="auto"/>
          <w:sz w:val="24"/>
          <w:szCs w:val="24"/>
          <w:highlight w:val="none"/>
        </w:rPr>
      </w:pPr>
      <w:bookmarkStart w:id="77" w:name="_Hlk60666116"/>
      <w:r>
        <w:rPr>
          <w:rFonts w:hint="eastAsia" w:ascii="宋体" w:hAnsi="宋体" w:eastAsia="宋体" w:cs="宋体"/>
          <w:snapToGrid w:val="0"/>
          <w:color w:val="auto"/>
          <w:sz w:val="24"/>
          <w:szCs w:val="24"/>
          <w:highlight w:val="none"/>
        </w:rPr>
        <w:t xml:space="preserve"> </w:t>
      </w:r>
    </w:p>
    <w:bookmarkEnd w:id="77"/>
    <w:p w14:paraId="33074C82">
      <w:pPr>
        <w:spacing w:line="588" w:lineRule="exact"/>
        <w:ind w:firstLine="504" w:firstLineChars="200"/>
        <w:rPr>
          <w:rFonts w:ascii="宋体" w:hAnsi="宋体" w:eastAsia="宋体" w:cs="宋体"/>
          <w:color w:val="auto"/>
          <w:spacing w:val="6"/>
          <w:sz w:val="24"/>
          <w:szCs w:val="24"/>
          <w:highlight w:val="none"/>
        </w:rPr>
      </w:pPr>
    </w:p>
    <w:p w14:paraId="33074C8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3074C84">
      <w:pPr>
        <w:spacing w:line="588" w:lineRule="exact"/>
        <w:rPr>
          <w:rFonts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投标人名称（盖章）：</w:t>
      </w:r>
    </w:p>
    <w:p w14:paraId="33074C85">
      <w:pPr>
        <w:spacing w:line="360" w:lineRule="auto"/>
        <w:ind w:left="5500" w:leftChars="2500"/>
        <w:rPr>
          <w:rFonts w:ascii="宋体" w:hAnsi="宋体" w:eastAsia="宋体" w:cs="宋体"/>
          <w:color w:val="auto"/>
          <w:sz w:val="24"/>
          <w:szCs w:val="24"/>
          <w:highlight w:val="none"/>
        </w:rPr>
      </w:pPr>
    </w:p>
    <w:p w14:paraId="33074C86">
      <w:pPr>
        <w:spacing w:line="360" w:lineRule="auto"/>
        <w:ind w:left="5500" w:leftChars="2500"/>
        <w:rPr>
          <w:rFonts w:ascii="宋体" w:hAnsi="宋体" w:eastAsia="宋体" w:cs="宋体"/>
          <w:color w:val="auto"/>
          <w:sz w:val="24"/>
          <w:szCs w:val="24"/>
          <w:highlight w:val="none"/>
        </w:rPr>
      </w:pPr>
    </w:p>
    <w:p w14:paraId="33074C87">
      <w:pPr>
        <w:spacing w:line="360" w:lineRule="auto"/>
        <w:ind w:left="5500" w:leftChars="2500"/>
        <w:rPr>
          <w:rFonts w:ascii="宋体" w:hAnsi="宋体" w:eastAsia="宋体" w:cs="宋体"/>
          <w:color w:val="auto"/>
          <w:sz w:val="24"/>
          <w:szCs w:val="24"/>
          <w:highlight w:val="none"/>
        </w:rPr>
      </w:pPr>
    </w:p>
    <w:p w14:paraId="33074C88">
      <w:pPr>
        <w:spacing w:line="360" w:lineRule="auto"/>
        <w:ind w:left="5500" w:leftChars="25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33074C89">
      <w:pPr>
        <w:spacing w:line="320" w:lineRule="exact"/>
        <w:rPr>
          <w:rFonts w:ascii="宋体" w:hAnsi="宋体" w:eastAsia="宋体" w:cs="宋体"/>
          <w:color w:val="auto"/>
          <w:sz w:val="24"/>
          <w:szCs w:val="24"/>
          <w:highlight w:val="none"/>
        </w:rPr>
      </w:pPr>
    </w:p>
    <w:p w14:paraId="33074C8A">
      <w:pPr>
        <w:pStyle w:val="36"/>
        <w:ind w:firstLine="0"/>
        <w:rPr>
          <w:rFonts w:ascii="宋体" w:hAnsi="宋体" w:cs="宋体"/>
          <w:color w:val="auto"/>
          <w:highlight w:val="none"/>
        </w:rPr>
      </w:pPr>
    </w:p>
    <w:p w14:paraId="33074C8B">
      <w:pPr>
        <w:pStyle w:val="36"/>
        <w:ind w:firstLine="0"/>
        <w:rPr>
          <w:rFonts w:cs="Arial"/>
          <w:b/>
          <w:color w:val="auto"/>
          <w:highlight w:val="none"/>
        </w:rPr>
      </w:pPr>
      <w:r>
        <w:rPr>
          <w:rFonts w:cs="Arial"/>
          <w:b/>
          <w:color w:val="auto"/>
          <w:highlight w:val="none"/>
        </w:rPr>
        <w:t>附件十一</w:t>
      </w:r>
    </w:p>
    <w:p w14:paraId="33074C8C">
      <w:pPr>
        <w:pStyle w:val="20"/>
        <w:shd w:val="clear" w:color="auto" w:fill="FFFFFF"/>
        <w:spacing w:before="20" w:beforeAutospacing="0" w:after="20" w:afterAutospacing="0"/>
        <w:rPr>
          <w:rFonts w:ascii="宋体" w:hAnsi="宋体" w:eastAsia="宋体" w:cs="宋体"/>
          <w:color w:val="auto"/>
          <w:sz w:val="16"/>
          <w:szCs w:val="16"/>
          <w:highlight w:val="none"/>
        </w:rPr>
      </w:pPr>
    </w:p>
    <w:p w14:paraId="33074C8D">
      <w:pPr>
        <w:pStyle w:val="20"/>
        <w:shd w:val="clear" w:color="auto" w:fill="FFFFFF"/>
        <w:spacing w:before="20" w:beforeAutospacing="0" w:after="20" w:afterAutospacing="0"/>
        <w:jc w:val="center"/>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t>关于符合本国产品标准的声明函</w:t>
      </w:r>
    </w:p>
    <w:p w14:paraId="33074C8E">
      <w:pPr>
        <w:pStyle w:val="20"/>
        <w:shd w:val="clear" w:color="auto" w:fill="FFFFFF"/>
        <w:spacing w:before="20" w:beforeAutospacing="0" w:after="20" w:afterAutospacing="0"/>
        <w:ind w:firstLine="420"/>
        <w:rPr>
          <w:rFonts w:ascii="宋体" w:hAnsi="宋体" w:eastAsia="宋体" w:cs="宋体"/>
          <w:color w:val="auto"/>
          <w:sz w:val="16"/>
          <w:szCs w:val="16"/>
          <w:highlight w:val="none"/>
        </w:rPr>
      </w:pPr>
    </w:p>
    <w:p w14:paraId="33074C8F">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074C90">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1.</w:t>
      </w:r>
      <w:r>
        <w:rPr>
          <w:rStyle w:val="29"/>
          <w:rFonts w:hint="eastAsia" w:ascii="宋体" w:hAnsi="宋体" w:eastAsia="宋体" w:cs="宋体"/>
          <w:i w:val="0"/>
          <w:color w:val="auto"/>
          <w:szCs w:val="24"/>
          <w:highlight w:val="none"/>
          <w:shd w:val="clear" w:color="auto" w:fill="FFFFFF"/>
        </w:rPr>
        <w:t>（产品名称1）</w:t>
      </w:r>
      <w:r>
        <w:rPr>
          <w:rStyle w:val="29"/>
          <w:rFonts w:hint="eastAsia" w:ascii="宋体" w:hAnsi="宋体" w:eastAsia="宋体" w:cs="宋体"/>
          <w:i w:val="0"/>
          <w:color w:val="auto"/>
          <w:szCs w:val="24"/>
          <w:highlight w:val="none"/>
          <w:shd w:val="clear" w:color="auto" w:fill="FFFFFF"/>
          <w:vertAlign w:val="superscript"/>
        </w:rPr>
        <w:t>1</w:t>
      </w:r>
      <w:r>
        <w:rPr>
          <w:rFonts w:hint="eastAsia" w:ascii="宋体" w:hAnsi="宋体" w:eastAsia="宋体" w:cs="宋体"/>
          <w:color w:val="auto"/>
          <w:szCs w:val="24"/>
          <w:highlight w:val="none"/>
          <w:shd w:val="clear" w:color="auto" w:fill="FFFFFF"/>
        </w:rPr>
        <w:t>，生产厂为</w:t>
      </w:r>
      <w:r>
        <w:rPr>
          <w:rStyle w:val="29"/>
          <w:rFonts w:hint="eastAsia" w:ascii="宋体" w:hAnsi="宋体" w:eastAsia="宋体" w:cs="宋体"/>
          <w:i w:val="0"/>
          <w:color w:val="auto"/>
          <w:szCs w:val="24"/>
          <w:highlight w:val="none"/>
          <w:shd w:val="clear" w:color="auto" w:fill="FFFFFF"/>
        </w:rPr>
        <w:t>（厂名）</w:t>
      </w:r>
      <w:r>
        <w:rPr>
          <w:rStyle w:val="29"/>
          <w:rFonts w:hint="eastAsia" w:ascii="宋体" w:hAnsi="宋体" w:eastAsia="宋体" w:cs="宋体"/>
          <w:i w:val="0"/>
          <w:color w:val="auto"/>
          <w:szCs w:val="24"/>
          <w:highlight w:val="none"/>
          <w:shd w:val="clear" w:color="auto" w:fill="FFFFFF"/>
          <w:vertAlign w:val="superscript"/>
        </w:rPr>
        <w:t>2</w:t>
      </w:r>
      <w:r>
        <w:rPr>
          <w:rFonts w:hint="eastAsia" w:ascii="宋体" w:hAnsi="宋体" w:eastAsia="宋体" w:cs="宋体"/>
          <w:color w:val="auto"/>
          <w:szCs w:val="24"/>
          <w:highlight w:val="none"/>
          <w:shd w:val="clear" w:color="auto" w:fill="FFFFFF"/>
        </w:rPr>
        <w:t>，厂址为</w:t>
      </w:r>
      <w:r>
        <w:rPr>
          <w:rStyle w:val="29"/>
          <w:rFonts w:hint="eastAsia" w:ascii="宋体" w:hAnsi="宋体" w:eastAsia="宋体" w:cs="宋体"/>
          <w:i w:val="0"/>
          <w:color w:val="auto"/>
          <w:szCs w:val="24"/>
          <w:highlight w:val="none"/>
          <w:shd w:val="clear" w:color="auto" w:fill="FFFFFF"/>
        </w:rPr>
        <w:t>（生产厂址）</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（产品名称1）</w:t>
      </w:r>
      <w:r>
        <w:rPr>
          <w:rFonts w:hint="eastAsia" w:ascii="宋体" w:hAnsi="宋体" w:eastAsia="宋体" w:cs="宋体"/>
          <w:color w:val="auto"/>
          <w:szCs w:val="24"/>
          <w:highlight w:val="none"/>
          <w:shd w:val="clear" w:color="auto" w:fill="FFFFFF"/>
        </w:rPr>
        <w:t>的中国境内生产的组件成本占比≥</w:t>
      </w:r>
      <w:r>
        <w:rPr>
          <w:rStyle w:val="29"/>
          <w:rFonts w:hint="eastAsia" w:ascii="宋体" w:hAnsi="宋体" w:eastAsia="宋体" w:cs="宋体"/>
          <w:i w:val="0"/>
          <w:color w:val="auto"/>
          <w:szCs w:val="24"/>
          <w:highlight w:val="none"/>
          <w:shd w:val="clear" w:color="auto" w:fill="FFFFFF"/>
        </w:rPr>
        <w:t>（规定比例）</w:t>
      </w:r>
      <w:r>
        <w:rPr>
          <w:rStyle w:val="29"/>
          <w:rFonts w:hint="eastAsia" w:ascii="宋体" w:hAnsi="宋体" w:eastAsia="宋体" w:cs="宋体"/>
          <w:i w:val="0"/>
          <w:color w:val="auto"/>
          <w:szCs w:val="24"/>
          <w:highlight w:val="none"/>
          <w:shd w:val="clear" w:color="auto" w:fill="FFFFFF"/>
          <w:vertAlign w:val="superscript"/>
        </w:rPr>
        <w:t>3</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（产品名称1）</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（关键组件）</w:t>
      </w:r>
      <w:r>
        <w:rPr>
          <w:rStyle w:val="29"/>
          <w:rFonts w:hint="eastAsia" w:ascii="宋体" w:hAnsi="宋体" w:eastAsia="宋体" w:cs="宋体"/>
          <w:i w:val="0"/>
          <w:color w:val="auto"/>
          <w:szCs w:val="24"/>
          <w:highlight w:val="none"/>
          <w:shd w:val="clear" w:color="auto" w:fill="FFFFFF"/>
          <w:vertAlign w:val="superscript"/>
        </w:rPr>
        <w:t>4</w:t>
      </w:r>
      <w:r>
        <w:rPr>
          <w:rFonts w:hint="eastAsia" w:ascii="宋体" w:hAnsi="宋体" w:eastAsia="宋体" w:cs="宋体"/>
          <w:color w:val="auto"/>
          <w:szCs w:val="24"/>
          <w:highlight w:val="none"/>
          <w:shd w:val="clear" w:color="auto" w:fill="FFFFFF"/>
        </w:rPr>
        <w:t>在中国境内生产。</w:t>
      </w:r>
      <w:r>
        <w:rPr>
          <w:rStyle w:val="29"/>
          <w:rFonts w:hint="eastAsia" w:ascii="宋体" w:hAnsi="宋体" w:eastAsia="宋体" w:cs="宋体"/>
          <w:i w:val="0"/>
          <w:color w:val="auto"/>
          <w:szCs w:val="24"/>
          <w:highlight w:val="none"/>
          <w:shd w:val="clear" w:color="auto" w:fill="FFFFFF"/>
        </w:rPr>
        <w:t>（产品名称1）</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（关键工序）</w:t>
      </w:r>
      <w:r>
        <w:rPr>
          <w:rStyle w:val="29"/>
          <w:rFonts w:hint="eastAsia" w:ascii="宋体" w:hAnsi="宋体" w:eastAsia="宋体" w:cs="宋体"/>
          <w:i w:val="0"/>
          <w:color w:val="auto"/>
          <w:szCs w:val="24"/>
          <w:highlight w:val="none"/>
          <w:shd w:val="clear" w:color="auto" w:fill="FFFFFF"/>
          <w:vertAlign w:val="superscript"/>
        </w:rPr>
        <w:t>5</w:t>
      </w:r>
      <w:r>
        <w:rPr>
          <w:rFonts w:hint="eastAsia" w:ascii="宋体" w:hAnsi="宋体" w:eastAsia="宋体" w:cs="宋体"/>
          <w:color w:val="auto"/>
          <w:szCs w:val="24"/>
          <w:highlight w:val="none"/>
          <w:shd w:val="clear" w:color="auto" w:fill="FFFFFF"/>
        </w:rPr>
        <w:t>在中国境内完成。</w:t>
      </w:r>
    </w:p>
    <w:p w14:paraId="33074C91">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2.</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，生产厂为</w:t>
      </w:r>
      <w:r>
        <w:rPr>
          <w:rStyle w:val="29"/>
          <w:rFonts w:hint="eastAsia" w:ascii="宋体" w:hAnsi="宋体" w:eastAsia="宋体" w:cs="宋体"/>
          <w:i w:val="0"/>
          <w:color w:val="auto"/>
          <w:szCs w:val="24"/>
          <w:highlight w:val="none"/>
          <w:shd w:val="clear" w:color="auto" w:fill="FFFFFF"/>
        </w:rPr>
        <w:t>（厂名）</w:t>
      </w:r>
      <w:r>
        <w:rPr>
          <w:rFonts w:hint="eastAsia" w:ascii="宋体" w:hAnsi="宋体" w:eastAsia="宋体" w:cs="宋体"/>
          <w:color w:val="auto"/>
          <w:szCs w:val="24"/>
          <w:highlight w:val="none"/>
          <w:shd w:val="clear" w:color="auto" w:fill="FFFFFF"/>
        </w:rPr>
        <w:t>，厂址为</w:t>
      </w:r>
      <w:r>
        <w:rPr>
          <w:rStyle w:val="29"/>
          <w:rFonts w:hint="eastAsia" w:ascii="宋体" w:hAnsi="宋体" w:eastAsia="宋体" w:cs="宋体"/>
          <w:i w:val="0"/>
          <w:color w:val="auto"/>
          <w:szCs w:val="24"/>
          <w:highlight w:val="none"/>
          <w:shd w:val="clear" w:color="auto" w:fill="FFFFFF"/>
        </w:rPr>
        <w:t>（生产厂址）</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的中国境内生产的组件成本占比≥</w:t>
      </w:r>
      <w:r>
        <w:rPr>
          <w:rStyle w:val="29"/>
          <w:rFonts w:hint="eastAsia" w:ascii="宋体" w:hAnsi="宋体" w:eastAsia="宋体" w:cs="宋体"/>
          <w:i w:val="0"/>
          <w:color w:val="auto"/>
          <w:szCs w:val="24"/>
          <w:highlight w:val="none"/>
          <w:shd w:val="clear" w:color="auto" w:fill="FFFFFF"/>
        </w:rPr>
        <w:t>（规定比例）</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（关键组件）</w:t>
      </w:r>
      <w:r>
        <w:rPr>
          <w:rFonts w:hint="eastAsia" w:ascii="宋体" w:hAnsi="宋体" w:eastAsia="宋体" w:cs="宋体"/>
          <w:color w:val="auto"/>
          <w:szCs w:val="24"/>
          <w:highlight w:val="none"/>
          <w:shd w:val="clear" w:color="auto" w:fill="FFFFFF"/>
        </w:rPr>
        <w:t>在中国境内生产。</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（关键工序）</w:t>
      </w:r>
      <w:r>
        <w:rPr>
          <w:rFonts w:hint="eastAsia" w:ascii="宋体" w:hAnsi="宋体" w:eastAsia="宋体" w:cs="宋体"/>
          <w:color w:val="auto"/>
          <w:szCs w:val="24"/>
          <w:highlight w:val="none"/>
          <w:shd w:val="clear" w:color="auto" w:fill="FFFFFF"/>
        </w:rPr>
        <w:t>在中国境内完成。</w:t>
      </w:r>
    </w:p>
    <w:p w14:paraId="33074C92">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w:t>
      </w:r>
    </w:p>
    <w:p w14:paraId="33074C93">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本公司（单位）对上述声明内容的真实性负责。如有虚假，愿承担相应法律责任。</w:t>
      </w:r>
    </w:p>
    <w:p w14:paraId="33074C94">
      <w:pPr>
        <w:pStyle w:val="20"/>
        <w:shd w:val="clear" w:color="auto" w:fill="FFFFFF"/>
        <w:spacing w:before="20" w:beforeAutospacing="0" w:after="20" w:afterAutospacing="0"/>
        <w:jc w:val="both"/>
        <w:rPr>
          <w:rFonts w:ascii="宋体" w:hAnsi="宋体" w:eastAsia="宋体" w:cs="宋体"/>
          <w:color w:val="auto"/>
          <w:szCs w:val="24"/>
          <w:highlight w:val="none"/>
          <w:shd w:val="clear" w:color="auto" w:fill="FFFFFF"/>
        </w:rPr>
      </w:pPr>
    </w:p>
    <w:p w14:paraId="33074C95">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33074C96">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33074C97">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33074C98">
      <w:pPr>
        <w:pStyle w:val="20"/>
        <w:shd w:val="clear" w:color="auto" w:fill="FFFFFF"/>
        <w:spacing w:before="20" w:beforeAutospacing="0" w:after="20" w:afterAutospacing="0"/>
        <w:ind w:firstLine="420"/>
        <w:jc w:val="center"/>
        <w:rPr>
          <w:rFonts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 xml:space="preserve">                            公司（单位）名称（盖章）： </w:t>
      </w:r>
    </w:p>
    <w:p w14:paraId="33074C99">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33074C9A">
      <w:pPr>
        <w:pStyle w:val="20"/>
        <w:shd w:val="clear" w:color="auto" w:fill="FFFFFF"/>
        <w:spacing w:before="20" w:beforeAutospacing="0" w:after="20" w:afterAutospacing="0"/>
        <w:ind w:firstLine="420"/>
        <w:jc w:val="right"/>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     </w:t>
      </w:r>
    </w:p>
    <w:p w14:paraId="33074C9B">
      <w:pPr>
        <w:pStyle w:val="20"/>
        <w:shd w:val="clear" w:color="auto" w:fill="FFFFFF"/>
        <w:spacing w:before="20" w:beforeAutospacing="0" w:after="20" w:afterAutospacing="0"/>
        <w:ind w:firstLine="420"/>
        <w:jc w:val="right"/>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日期：　　　　　年　　月　日    </w:t>
      </w:r>
    </w:p>
    <w:p w14:paraId="33074C9C">
      <w:pPr>
        <w:pStyle w:val="20"/>
        <w:shd w:val="clear" w:color="auto" w:fill="FFFFFF"/>
        <w:spacing w:before="20" w:beforeAutospacing="0" w:after="20" w:afterAutospacing="0"/>
        <w:ind w:firstLine="420"/>
        <w:rPr>
          <w:rFonts w:ascii="宋体" w:hAnsi="宋体" w:eastAsia="宋体" w:cs="宋体"/>
          <w:color w:val="auto"/>
          <w:szCs w:val="24"/>
          <w:highlight w:val="none"/>
        </w:rPr>
      </w:pPr>
    </w:p>
    <w:p w14:paraId="33074C9D">
      <w:pPr>
        <w:pStyle w:val="20"/>
        <w:shd w:val="clear" w:color="auto" w:fill="FFFFFF"/>
        <w:spacing w:before="20" w:beforeAutospacing="0" w:after="20" w:afterAutospacing="0"/>
        <w:ind w:firstLine="420"/>
        <w:rPr>
          <w:rFonts w:ascii="宋体" w:hAnsi="宋体" w:eastAsia="宋体" w:cs="宋体"/>
          <w:color w:val="auto"/>
          <w:szCs w:val="24"/>
          <w:highlight w:val="none"/>
        </w:rPr>
      </w:pPr>
    </w:p>
    <w:p w14:paraId="33074C9E">
      <w:pPr>
        <w:pStyle w:val="20"/>
        <w:shd w:val="clear" w:color="auto" w:fill="FFFFFF"/>
        <w:spacing w:before="20" w:beforeAutospacing="0" w:after="20" w:afterAutospacing="0"/>
        <w:ind w:firstLine="420"/>
        <w:rPr>
          <w:rFonts w:ascii="宋体" w:hAnsi="宋体" w:eastAsia="宋体" w:cs="宋体"/>
          <w:color w:val="auto"/>
          <w:szCs w:val="24"/>
          <w:highlight w:val="none"/>
        </w:rPr>
      </w:pPr>
    </w:p>
    <w:p w14:paraId="33074C9F">
      <w:pPr>
        <w:pStyle w:val="20"/>
        <w:shd w:val="clear" w:color="auto" w:fill="FFFFFF"/>
        <w:spacing w:before="20" w:beforeAutospacing="0" w:after="20" w:afterAutospacing="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_____________________________</w:t>
      </w:r>
    </w:p>
    <w:p w14:paraId="33074CA0">
      <w:pPr>
        <w:pStyle w:val="20"/>
        <w:shd w:val="clear" w:color="auto" w:fill="FFFFFF"/>
        <w:spacing w:before="20" w:beforeAutospacing="0" w:after="20" w:afterAutospacing="0"/>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1.产品如有型号，请在“产品名称”栏一并填写。</w:t>
      </w:r>
    </w:p>
    <w:p w14:paraId="33074CA1">
      <w:pPr>
        <w:pStyle w:val="20"/>
        <w:shd w:val="clear" w:color="auto" w:fill="FFFFFF"/>
        <w:spacing w:before="20" w:beforeAutospacing="0" w:after="20" w:afterAutospacing="0"/>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2.生产厂名与厂址应与生产厂营业执照载明的相关信息保持一致。</w:t>
      </w:r>
    </w:p>
    <w:p w14:paraId="33074CA2">
      <w:pPr>
        <w:pStyle w:val="20"/>
        <w:shd w:val="clear" w:color="auto" w:fill="FFFFFF"/>
        <w:spacing w:before="20" w:beforeAutospacing="0" w:after="20" w:afterAutospacing="0"/>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3.该产品的中国境内生产的组件成本占比相关要求实施前，“规定比例”栏可不填，下同。</w:t>
      </w:r>
    </w:p>
    <w:p w14:paraId="33074CA3">
      <w:pPr>
        <w:pStyle w:val="20"/>
        <w:shd w:val="clear" w:color="auto" w:fill="FFFFFF"/>
        <w:spacing w:before="20" w:beforeAutospacing="0" w:after="20" w:afterAutospacing="0"/>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4.该产品的关键组件要求实施前，“关键组件”栏可不填，下同。</w:t>
      </w:r>
    </w:p>
    <w:p w14:paraId="33074CA4">
      <w:pPr>
        <w:pStyle w:val="20"/>
        <w:shd w:val="clear" w:color="auto" w:fill="FFFFFF"/>
        <w:spacing w:before="20" w:beforeAutospacing="0" w:after="20" w:afterAutospacing="0"/>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5.该产品的关键工序要求实施前，“关键工序”栏可不填，下同。</w:t>
      </w:r>
    </w:p>
    <w:p w14:paraId="33074CA5">
      <w:pPr>
        <w:pStyle w:val="36"/>
        <w:ind w:firstLine="0"/>
        <w:jc w:val="center"/>
        <w:rPr>
          <w:rFonts w:ascii="宋体" w:hAnsi="宋体" w:cs="宋体"/>
          <w:color w:val="auto"/>
          <w:highlight w:val="none"/>
        </w:rPr>
      </w:pPr>
    </w:p>
    <w:sectPr>
      <w:footerReference r:id="rId7" w:type="first"/>
      <w:headerReference r:id="rId4" w:type="default"/>
      <w:footerReference r:id="rId5" w:type="default"/>
      <w:footerReference r:id="rId6"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74CCA">
    <w:pPr>
      <w:pStyle w:val="16"/>
      <w:framePr w:wrap="around" w:vAnchor="text" w:hAnchor="margin" w:xAlign="center" w:y="1"/>
      <w:rPr>
        <w:rStyle w:val="28"/>
        <w:rFonts w:ascii="宋体" w:hAnsi="宋体"/>
      </w:rPr>
    </w:pPr>
    <w:r>
      <w:rPr>
        <w:rFonts w:ascii="宋体" w:hAnsi="宋体"/>
      </w:rPr>
      <w:fldChar w:fldCharType="begin"/>
    </w:r>
    <w:r>
      <w:rPr>
        <w:rStyle w:val="28"/>
        <w:rFonts w:ascii="宋体" w:hAnsi="宋体"/>
      </w:rPr>
      <w:instrText xml:space="preserve">PAGE  </w:instrText>
    </w:r>
    <w:r>
      <w:rPr>
        <w:rFonts w:ascii="宋体" w:hAnsi="宋体"/>
      </w:rPr>
      <w:fldChar w:fldCharType="separate"/>
    </w:r>
    <w:r>
      <w:rPr>
        <w:rStyle w:val="28"/>
        <w:rFonts w:ascii="宋体" w:hAnsi="宋体"/>
      </w:rPr>
      <w:t>17</w:t>
    </w:r>
    <w:r>
      <w:rPr>
        <w:rFonts w:ascii="宋体" w:hAnsi="宋体"/>
      </w:rPr>
      <w:fldChar w:fldCharType="end"/>
    </w:r>
  </w:p>
  <w:p w14:paraId="33074CCB">
    <w:pPr>
      <w:pStyle w:val="16"/>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74CC8">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1</w:t>
    </w:r>
    <w:r>
      <w:fldChar w:fldCharType="end"/>
    </w:r>
  </w:p>
  <w:p w14:paraId="33074CC9">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74CCC">
    <w:pPr>
      <w:pStyle w:val="16"/>
    </w:pPr>
  </w:p>
  <w:p w14:paraId="33074CCD">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74CC7">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D1092"/>
    <w:multiLevelType w:val="singleLevel"/>
    <w:tmpl w:val="DDBD1092"/>
    <w:lvl w:ilvl="0" w:tentative="0">
      <w:start w:val="5"/>
      <w:numFmt w:val="chineseCounting"/>
      <w:suff w:val="space"/>
      <w:lvlText w:val="第%1章"/>
      <w:lvlJc w:val="left"/>
      <w:rPr>
        <w:rFonts w:hint="eastAsia"/>
      </w:rPr>
    </w:lvl>
  </w:abstractNum>
  <w:abstractNum w:abstractNumId="1">
    <w:nsid w:val="E1B281E9"/>
    <w:multiLevelType w:val="singleLevel"/>
    <w:tmpl w:val="E1B281E9"/>
    <w:lvl w:ilvl="0" w:tentative="0">
      <w:start w:val="2"/>
      <w:numFmt w:val="chineseCounting"/>
      <w:suff w:val="nothing"/>
      <w:lvlText w:val="%1、"/>
      <w:lvlJc w:val="left"/>
      <w:rPr>
        <w:rFonts w:hint="eastAsia"/>
      </w:rPr>
    </w:lvl>
  </w:abstractNum>
  <w:abstractNum w:abstractNumId="2">
    <w:nsid w:val="E9122AE8"/>
    <w:multiLevelType w:val="singleLevel"/>
    <w:tmpl w:val="E9122AE8"/>
    <w:lvl w:ilvl="0" w:tentative="0">
      <w:start w:val="2"/>
      <w:numFmt w:val="decimal"/>
      <w:suff w:val="nothing"/>
      <w:lvlText w:val="（%1）"/>
      <w:lvlJc w:val="left"/>
    </w:lvl>
  </w:abstractNum>
  <w:abstractNum w:abstractNumId="3">
    <w:nsid w:val="5C7E0EE5"/>
    <w:multiLevelType w:val="multilevel"/>
    <w:tmpl w:val="5C7E0EE5"/>
    <w:lvl w:ilvl="0" w:tentative="0">
      <w:start w:val="1"/>
      <w:numFmt w:val="chineseCountingThousand"/>
      <w:pStyle w:val="4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lZmQwZjI0MmU5YTg5ODk2N2FkYjMyNWI5NTM5NjEifQ=="/>
  </w:docVars>
  <w:rsids>
    <w:rsidRoot w:val="00D31D50"/>
    <w:rsid w:val="00026CA5"/>
    <w:rsid w:val="000458DB"/>
    <w:rsid w:val="000508AB"/>
    <w:rsid w:val="00050D10"/>
    <w:rsid w:val="00053D8C"/>
    <w:rsid w:val="00055BF5"/>
    <w:rsid w:val="0008466D"/>
    <w:rsid w:val="0009546A"/>
    <w:rsid w:val="000B08EC"/>
    <w:rsid w:val="000B0E83"/>
    <w:rsid w:val="000B538B"/>
    <w:rsid w:val="000D0163"/>
    <w:rsid w:val="00101A8A"/>
    <w:rsid w:val="00101AE9"/>
    <w:rsid w:val="001225B3"/>
    <w:rsid w:val="00124A3C"/>
    <w:rsid w:val="00141840"/>
    <w:rsid w:val="0016026B"/>
    <w:rsid w:val="00167738"/>
    <w:rsid w:val="0018443B"/>
    <w:rsid w:val="001A049C"/>
    <w:rsid w:val="001B6A78"/>
    <w:rsid w:val="001C20DD"/>
    <w:rsid w:val="001C4B26"/>
    <w:rsid w:val="001D0768"/>
    <w:rsid w:val="001E4020"/>
    <w:rsid w:val="001F4F63"/>
    <w:rsid w:val="0020432E"/>
    <w:rsid w:val="002070F5"/>
    <w:rsid w:val="00232127"/>
    <w:rsid w:val="002327D4"/>
    <w:rsid w:val="00272CB4"/>
    <w:rsid w:val="002D2055"/>
    <w:rsid w:val="002E26AA"/>
    <w:rsid w:val="00300F88"/>
    <w:rsid w:val="00307A95"/>
    <w:rsid w:val="00323B43"/>
    <w:rsid w:val="00327947"/>
    <w:rsid w:val="00336E5A"/>
    <w:rsid w:val="0036460C"/>
    <w:rsid w:val="00380B99"/>
    <w:rsid w:val="0038270D"/>
    <w:rsid w:val="003B2DF7"/>
    <w:rsid w:val="003D2715"/>
    <w:rsid w:val="003D37D8"/>
    <w:rsid w:val="003F3546"/>
    <w:rsid w:val="003F7CC8"/>
    <w:rsid w:val="00411C53"/>
    <w:rsid w:val="00414074"/>
    <w:rsid w:val="00421D40"/>
    <w:rsid w:val="00426133"/>
    <w:rsid w:val="004358AB"/>
    <w:rsid w:val="0043654C"/>
    <w:rsid w:val="004373ED"/>
    <w:rsid w:val="0044705E"/>
    <w:rsid w:val="004778F5"/>
    <w:rsid w:val="004808C6"/>
    <w:rsid w:val="004A4F2D"/>
    <w:rsid w:val="004E3402"/>
    <w:rsid w:val="004F5C9E"/>
    <w:rsid w:val="005129DB"/>
    <w:rsid w:val="005539A0"/>
    <w:rsid w:val="00582977"/>
    <w:rsid w:val="005866DD"/>
    <w:rsid w:val="00590D7C"/>
    <w:rsid w:val="005B00B9"/>
    <w:rsid w:val="005B44B4"/>
    <w:rsid w:val="005F7E13"/>
    <w:rsid w:val="0060453F"/>
    <w:rsid w:val="006045FD"/>
    <w:rsid w:val="00612992"/>
    <w:rsid w:val="006411FE"/>
    <w:rsid w:val="00663D89"/>
    <w:rsid w:val="00681F07"/>
    <w:rsid w:val="006A096A"/>
    <w:rsid w:val="006A112C"/>
    <w:rsid w:val="006B3A69"/>
    <w:rsid w:val="006C6B1D"/>
    <w:rsid w:val="00710E53"/>
    <w:rsid w:val="0071106B"/>
    <w:rsid w:val="0071578F"/>
    <w:rsid w:val="007178CD"/>
    <w:rsid w:val="00725153"/>
    <w:rsid w:val="0073525A"/>
    <w:rsid w:val="00747556"/>
    <w:rsid w:val="00792482"/>
    <w:rsid w:val="0079316D"/>
    <w:rsid w:val="007947E9"/>
    <w:rsid w:val="007A58F8"/>
    <w:rsid w:val="007C539F"/>
    <w:rsid w:val="007F18E6"/>
    <w:rsid w:val="007F226B"/>
    <w:rsid w:val="00841379"/>
    <w:rsid w:val="0085068C"/>
    <w:rsid w:val="008545FA"/>
    <w:rsid w:val="008940B1"/>
    <w:rsid w:val="008B154E"/>
    <w:rsid w:val="008B7726"/>
    <w:rsid w:val="008F5952"/>
    <w:rsid w:val="008F6FC4"/>
    <w:rsid w:val="008F7663"/>
    <w:rsid w:val="00901E4A"/>
    <w:rsid w:val="00914B43"/>
    <w:rsid w:val="00917C9A"/>
    <w:rsid w:val="009330FF"/>
    <w:rsid w:val="00937A6C"/>
    <w:rsid w:val="00954E6B"/>
    <w:rsid w:val="009569A2"/>
    <w:rsid w:val="00973324"/>
    <w:rsid w:val="00985BBC"/>
    <w:rsid w:val="0099642C"/>
    <w:rsid w:val="009B4528"/>
    <w:rsid w:val="009D140B"/>
    <w:rsid w:val="009E1102"/>
    <w:rsid w:val="009E4FC4"/>
    <w:rsid w:val="009E5541"/>
    <w:rsid w:val="00A02CA7"/>
    <w:rsid w:val="00A34B57"/>
    <w:rsid w:val="00A478D2"/>
    <w:rsid w:val="00A67624"/>
    <w:rsid w:val="00A719C8"/>
    <w:rsid w:val="00A754E0"/>
    <w:rsid w:val="00A81F9E"/>
    <w:rsid w:val="00AA278C"/>
    <w:rsid w:val="00AB3CFF"/>
    <w:rsid w:val="00AC2325"/>
    <w:rsid w:val="00AC3CE4"/>
    <w:rsid w:val="00AD713B"/>
    <w:rsid w:val="00AE6332"/>
    <w:rsid w:val="00AF0E8F"/>
    <w:rsid w:val="00B06748"/>
    <w:rsid w:val="00B10D4E"/>
    <w:rsid w:val="00B300AE"/>
    <w:rsid w:val="00B32830"/>
    <w:rsid w:val="00B33A83"/>
    <w:rsid w:val="00B47081"/>
    <w:rsid w:val="00B4709A"/>
    <w:rsid w:val="00B47424"/>
    <w:rsid w:val="00B531AF"/>
    <w:rsid w:val="00B54479"/>
    <w:rsid w:val="00B7298F"/>
    <w:rsid w:val="00B9381E"/>
    <w:rsid w:val="00B97749"/>
    <w:rsid w:val="00BB2734"/>
    <w:rsid w:val="00BC757B"/>
    <w:rsid w:val="00BC7A5C"/>
    <w:rsid w:val="00BD2AED"/>
    <w:rsid w:val="00BD6A49"/>
    <w:rsid w:val="00BD77ED"/>
    <w:rsid w:val="00BE7284"/>
    <w:rsid w:val="00BF3F02"/>
    <w:rsid w:val="00C13584"/>
    <w:rsid w:val="00C30C20"/>
    <w:rsid w:val="00C40E65"/>
    <w:rsid w:val="00C541CB"/>
    <w:rsid w:val="00C55166"/>
    <w:rsid w:val="00C76558"/>
    <w:rsid w:val="00C85F20"/>
    <w:rsid w:val="00C86FD4"/>
    <w:rsid w:val="00D278D7"/>
    <w:rsid w:val="00D31D50"/>
    <w:rsid w:val="00D53633"/>
    <w:rsid w:val="00D56CB6"/>
    <w:rsid w:val="00D61AE7"/>
    <w:rsid w:val="00D634CC"/>
    <w:rsid w:val="00D9005C"/>
    <w:rsid w:val="00DA1746"/>
    <w:rsid w:val="00DA4334"/>
    <w:rsid w:val="00DB5FD8"/>
    <w:rsid w:val="00DE05FA"/>
    <w:rsid w:val="00DE421A"/>
    <w:rsid w:val="00DF12D7"/>
    <w:rsid w:val="00E011DE"/>
    <w:rsid w:val="00E14FB9"/>
    <w:rsid w:val="00E31BD3"/>
    <w:rsid w:val="00E34600"/>
    <w:rsid w:val="00E52BFB"/>
    <w:rsid w:val="00E81B75"/>
    <w:rsid w:val="00EB187E"/>
    <w:rsid w:val="00F04061"/>
    <w:rsid w:val="00F14151"/>
    <w:rsid w:val="00F30A36"/>
    <w:rsid w:val="00F4455E"/>
    <w:rsid w:val="00F5231B"/>
    <w:rsid w:val="00F90524"/>
    <w:rsid w:val="00F94053"/>
    <w:rsid w:val="00FA1385"/>
    <w:rsid w:val="00FA4F5F"/>
    <w:rsid w:val="00FB608D"/>
    <w:rsid w:val="00FC73E8"/>
    <w:rsid w:val="00FF44F0"/>
    <w:rsid w:val="00FF7A26"/>
    <w:rsid w:val="01401F5A"/>
    <w:rsid w:val="014557C2"/>
    <w:rsid w:val="016043AA"/>
    <w:rsid w:val="016D037B"/>
    <w:rsid w:val="01795011"/>
    <w:rsid w:val="019141B8"/>
    <w:rsid w:val="019E3125"/>
    <w:rsid w:val="020236B3"/>
    <w:rsid w:val="02092C94"/>
    <w:rsid w:val="02497534"/>
    <w:rsid w:val="025832D3"/>
    <w:rsid w:val="02595DB9"/>
    <w:rsid w:val="02611EF3"/>
    <w:rsid w:val="027D5B17"/>
    <w:rsid w:val="02812296"/>
    <w:rsid w:val="02C22A05"/>
    <w:rsid w:val="02CB619B"/>
    <w:rsid w:val="03125B78"/>
    <w:rsid w:val="032A1114"/>
    <w:rsid w:val="032D2A73"/>
    <w:rsid w:val="034C553C"/>
    <w:rsid w:val="03B95FF4"/>
    <w:rsid w:val="03D71F9B"/>
    <w:rsid w:val="03E56DE9"/>
    <w:rsid w:val="04194CE4"/>
    <w:rsid w:val="04257707"/>
    <w:rsid w:val="043A5387"/>
    <w:rsid w:val="04545D1C"/>
    <w:rsid w:val="046C12B8"/>
    <w:rsid w:val="04756DA8"/>
    <w:rsid w:val="049E4DCC"/>
    <w:rsid w:val="04A114ED"/>
    <w:rsid w:val="04B62533"/>
    <w:rsid w:val="04BE31D4"/>
    <w:rsid w:val="04C2712A"/>
    <w:rsid w:val="04E50427"/>
    <w:rsid w:val="0501370E"/>
    <w:rsid w:val="05094D59"/>
    <w:rsid w:val="052406FE"/>
    <w:rsid w:val="052878D5"/>
    <w:rsid w:val="054D2E98"/>
    <w:rsid w:val="05542478"/>
    <w:rsid w:val="056B10A4"/>
    <w:rsid w:val="058D598A"/>
    <w:rsid w:val="05D67331"/>
    <w:rsid w:val="061340E1"/>
    <w:rsid w:val="06161EA3"/>
    <w:rsid w:val="063127B9"/>
    <w:rsid w:val="068648B3"/>
    <w:rsid w:val="06BC2CAD"/>
    <w:rsid w:val="06DF0467"/>
    <w:rsid w:val="072D2F81"/>
    <w:rsid w:val="07302A71"/>
    <w:rsid w:val="0757624F"/>
    <w:rsid w:val="075A2F48"/>
    <w:rsid w:val="076210A0"/>
    <w:rsid w:val="076B1CFB"/>
    <w:rsid w:val="079F3753"/>
    <w:rsid w:val="07A64AE1"/>
    <w:rsid w:val="07D23B28"/>
    <w:rsid w:val="080D2DB2"/>
    <w:rsid w:val="083D5445"/>
    <w:rsid w:val="086542F4"/>
    <w:rsid w:val="088968DD"/>
    <w:rsid w:val="088D1D97"/>
    <w:rsid w:val="089E3A0A"/>
    <w:rsid w:val="08A07782"/>
    <w:rsid w:val="08AE6343"/>
    <w:rsid w:val="08BA6A96"/>
    <w:rsid w:val="08D06D38"/>
    <w:rsid w:val="08DB6A0C"/>
    <w:rsid w:val="08F04266"/>
    <w:rsid w:val="08F33D56"/>
    <w:rsid w:val="091E5277"/>
    <w:rsid w:val="0923288D"/>
    <w:rsid w:val="092D370C"/>
    <w:rsid w:val="095011A8"/>
    <w:rsid w:val="09697C97"/>
    <w:rsid w:val="097924AD"/>
    <w:rsid w:val="09AA6B0A"/>
    <w:rsid w:val="09E35B01"/>
    <w:rsid w:val="09E43101"/>
    <w:rsid w:val="0A172500"/>
    <w:rsid w:val="0A3E7253"/>
    <w:rsid w:val="0A4505E1"/>
    <w:rsid w:val="0A72767F"/>
    <w:rsid w:val="0A913826"/>
    <w:rsid w:val="0A9F5608"/>
    <w:rsid w:val="0AA25A34"/>
    <w:rsid w:val="0AFD0EBC"/>
    <w:rsid w:val="0B273E7A"/>
    <w:rsid w:val="0B330D82"/>
    <w:rsid w:val="0B3F06D8"/>
    <w:rsid w:val="0B495EAF"/>
    <w:rsid w:val="0B582B93"/>
    <w:rsid w:val="0B8D2879"/>
    <w:rsid w:val="0B9C171C"/>
    <w:rsid w:val="0B9F01C5"/>
    <w:rsid w:val="0BA84D1F"/>
    <w:rsid w:val="0BF055C0"/>
    <w:rsid w:val="0C122745"/>
    <w:rsid w:val="0C252478"/>
    <w:rsid w:val="0C2C322F"/>
    <w:rsid w:val="0C6979B3"/>
    <w:rsid w:val="0C704F35"/>
    <w:rsid w:val="0CAF268A"/>
    <w:rsid w:val="0CC31C91"/>
    <w:rsid w:val="0CC80727"/>
    <w:rsid w:val="0CD93752"/>
    <w:rsid w:val="0D000BA6"/>
    <w:rsid w:val="0D0F2540"/>
    <w:rsid w:val="0D1D75F3"/>
    <w:rsid w:val="0D2941EA"/>
    <w:rsid w:val="0D3E4515"/>
    <w:rsid w:val="0D464D9C"/>
    <w:rsid w:val="0D570D57"/>
    <w:rsid w:val="0D5C45C0"/>
    <w:rsid w:val="0D906017"/>
    <w:rsid w:val="0D9474DB"/>
    <w:rsid w:val="0DA11C5C"/>
    <w:rsid w:val="0DB53CD0"/>
    <w:rsid w:val="0DB8731C"/>
    <w:rsid w:val="0DD04666"/>
    <w:rsid w:val="0DD203DE"/>
    <w:rsid w:val="0DF30354"/>
    <w:rsid w:val="0E116671"/>
    <w:rsid w:val="0E197DBB"/>
    <w:rsid w:val="0E3620C1"/>
    <w:rsid w:val="0E381CD7"/>
    <w:rsid w:val="0E3C7F4D"/>
    <w:rsid w:val="0E7616B1"/>
    <w:rsid w:val="0E89477E"/>
    <w:rsid w:val="0EB60381"/>
    <w:rsid w:val="0EBE0962"/>
    <w:rsid w:val="0EC248F6"/>
    <w:rsid w:val="0EE303C9"/>
    <w:rsid w:val="0F033E57"/>
    <w:rsid w:val="0F6D7ECC"/>
    <w:rsid w:val="0FC66FA4"/>
    <w:rsid w:val="0FCD5A91"/>
    <w:rsid w:val="0FDF5034"/>
    <w:rsid w:val="0FFA1E6E"/>
    <w:rsid w:val="10022AD1"/>
    <w:rsid w:val="103C2486"/>
    <w:rsid w:val="104E2A85"/>
    <w:rsid w:val="107E0C52"/>
    <w:rsid w:val="108A31F2"/>
    <w:rsid w:val="109A3AE7"/>
    <w:rsid w:val="10BC5954"/>
    <w:rsid w:val="10F42D61"/>
    <w:rsid w:val="112C24FB"/>
    <w:rsid w:val="116E48C1"/>
    <w:rsid w:val="11A8242F"/>
    <w:rsid w:val="11D61803"/>
    <w:rsid w:val="121A2353"/>
    <w:rsid w:val="12285C2A"/>
    <w:rsid w:val="127557DC"/>
    <w:rsid w:val="12B24C82"/>
    <w:rsid w:val="12BA7692"/>
    <w:rsid w:val="12CD1ABC"/>
    <w:rsid w:val="132D765F"/>
    <w:rsid w:val="13433B2C"/>
    <w:rsid w:val="13491142"/>
    <w:rsid w:val="134C52CB"/>
    <w:rsid w:val="1389410E"/>
    <w:rsid w:val="13A02D2C"/>
    <w:rsid w:val="13A66AFB"/>
    <w:rsid w:val="13AE369B"/>
    <w:rsid w:val="13AF4D1D"/>
    <w:rsid w:val="13F15336"/>
    <w:rsid w:val="14101C60"/>
    <w:rsid w:val="141D612B"/>
    <w:rsid w:val="143376FC"/>
    <w:rsid w:val="14983A03"/>
    <w:rsid w:val="14AB1696"/>
    <w:rsid w:val="14B1017B"/>
    <w:rsid w:val="14C30A80"/>
    <w:rsid w:val="14E575B0"/>
    <w:rsid w:val="14F74BCE"/>
    <w:rsid w:val="15202377"/>
    <w:rsid w:val="156C1118"/>
    <w:rsid w:val="158E72E0"/>
    <w:rsid w:val="159A3ED7"/>
    <w:rsid w:val="15C03212"/>
    <w:rsid w:val="15FF4D16"/>
    <w:rsid w:val="1606156C"/>
    <w:rsid w:val="1615355E"/>
    <w:rsid w:val="161A0B74"/>
    <w:rsid w:val="16707A14"/>
    <w:rsid w:val="167D7355"/>
    <w:rsid w:val="16A36DBB"/>
    <w:rsid w:val="16BF5875"/>
    <w:rsid w:val="16F13FCB"/>
    <w:rsid w:val="170A0BE8"/>
    <w:rsid w:val="171C6B6E"/>
    <w:rsid w:val="1720665E"/>
    <w:rsid w:val="176757FA"/>
    <w:rsid w:val="176877CB"/>
    <w:rsid w:val="177F7730"/>
    <w:rsid w:val="17A10E21"/>
    <w:rsid w:val="17A600E3"/>
    <w:rsid w:val="17D336D0"/>
    <w:rsid w:val="18041ADC"/>
    <w:rsid w:val="18100480"/>
    <w:rsid w:val="181B0BD3"/>
    <w:rsid w:val="184C3483"/>
    <w:rsid w:val="185508F2"/>
    <w:rsid w:val="18B232E6"/>
    <w:rsid w:val="18C80D5B"/>
    <w:rsid w:val="18DC4807"/>
    <w:rsid w:val="18FF04F5"/>
    <w:rsid w:val="195425EF"/>
    <w:rsid w:val="198033E4"/>
    <w:rsid w:val="199D3F96"/>
    <w:rsid w:val="1A09162B"/>
    <w:rsid w:val="1A0A290D"/>
    <w:rsid w:val="1A0C111B"/>
    <w:rsid w:val="1A187EBE"/>
    <w:rsid w:val="1A424B3D"/>
    <w:rsid w:val="1A495ECC"/>
    <w:rsid w:val="1A9C26B3"/>
    <w:rsid w:val="1AB377E9"/>
    <w:rsid w:val="1B1B3613"/>
    <w:rsid w:val="1B23480E"/>
    <w:rsid w:val="1B65679B"/>
    <w:rsid w:val="1B9C64CF"/>
    <w:rsid w:val="1BC872C4"/>
    <w:rsid w:val="1C47468D"/>
    <w:rsid w:val="1C4E1AFF"/>
    <w:rsid w:val="1C63666B"/>
    <w:rsid w:val="1C6568C1"/>
    <w:rsid w:val="1C766D20"/>
    <w:rsid w:val="1C9D24FF"/>
    <w:rsid w:val="1C9D42AD"/>
    <w:rsid w:val="1CAF7C2C"/>
    <w:rsid w:val="1CB16579"/>
    <w:rsid w:val="1CD526D8"/>
    <w:rsid w:val="1CDD28FB"/>
    <w:rsid w:val="1CE37586"/>
    <w:rsid w:val="1CE53D0D"/>
    <w:rsid w:val="1CF55E97"/>
    <w:rsid w:val="1D022362"/>
    <w:rsid w:val="1D302650"/>
    <w:rsid w:val="1D5C5F16"/>
    <w:rsid w:val="1D7F1C04"/>
    <w:rsid w:val="1D9751A0"/>
    <w:rsid w:val="1DC15D79"/>
    <w:rsid w:val="1DD84553"/>
    <w:rsid w:val="1DEB1048"/>
    <w:rsid w:val="1DED232D"/>
    <w:rsid w:val="1DFE6FCD"/>
    <w:rsid w:val="1E276EDE"/>
    <w:rsid w:val="1E376FDF"/>
    <w:rsid w:val="1E48649A"/>
    <w:rsid w:val="1E676920"/>
    <w:rsid w:val="1E7D4396"/>
    <w:rsid w:val="1E870D71"/>
    <w:rsid w:val="1E872FCB"/>
    <w:rsid w:val="1EF26B32"/>
    <w:rsid w:val="1F07212E"/>
    <w:rsid w:val="1F0E7DF2"/>
    <w:rsid w:val="1F247119"/>
    <w:rsid w:val="1F5844BB"/>
    <w:rsid w:val="1F777932"/>
    <w:rsid w:val="1FBE07C2"/>
    <w:rsid w:val="1FCF29CF"/>
    <w:rsid w:val="20286F28"/>
    <w:rsid w:val="204333BD"/>
    <w:rsid w:val="20592BE1"/>
    <w:rsid w:val="20827A42"/>
    <w:rsid w:val="20857532"/>
    <w:rsid w:val="20915ED7"/>
    <w:rsid w:val="20C529CD"/>
    <w:rsid w:val="212B632B"/>
    <w:rsid w:val="214271D1"/>
    <w:rsid w:val="21481027"/>
    <w:rsid w:val="2159096D"/>
    <w:rsid w:val="216668C1"/>
    <w:rsid w:val="21690C01"/>
    <w:rsid w:val="216E6218"/>
    <w:rsid w:val="21747CD2"/>
    <w:rsid w:val="218E2416"/>
    <w:rsid w:val="21927E1B"/>
    <w:rsid w:val="21BC3427"/>
    <w:rsid w:val="21C1459A"/>
    <w:rsid w:val="21F229A5"/>
    <w:rsid w:val="22042D93"/>
    <w:rsid w:val="221768AF"/>
    <w:rsid w:val="223C00C4"/>
    <w:rsid w:val="226D64CF"/>
    <w:rsid w:val="22B660C8"/>
    <w:rsid w:val="22B934C3"/>
    <w:rsid w:val="22C01418"/>
    <w:rsid w:val="22C97BAA"/>
    <w:rsid w:val="231828DF"/>
    <w:rsid w:val="231D1CA3"/>
    <w:rsid w:val="238757A3"/>
    <w:rsid w:val="24466FD8"/>
    <w:rsid w:val="24853FA4"/>
    <w:rsid w:val="249E5066"/>
    <w:rsid w:val="24BC0CFB"/>
    <w:rsid w:val="24BE1264"/>
    <w:rsid w:val="24C534EE"/>
    <w:rsid w:val="24E011DB"/>
    <w:rsid w:val="24E35174"/>
    <w:rsid w:val="251F61A7"/>
    <w:rsid w:val="25276E09"/>
    <w:rsid w:val="2540611D"/>
    <w:rsid w:val="25643BBA"/>
    <w:rsid w:val="256B319A"/>
    <w:rsid w:val="25701635"/>
    <w:rsid w:val="25C1100C"/>
    <w:rsid w:val="25D02FFD"/>
    <w:rsid w:val="25D16D75"/>
    <w:rsid w:val="25E62821"/>
    <w:rsid w:val="25F018F1"/>
    <w:rsid w:val="25FD7B6A"/>
    <w:rsid w:val="260E3B25"/>
    <w:rsid w:val="26232D49"/>
    <w:rsid w:val="263A491A"/>
    <w:rsid w:val="26467763"/>
    <w:rsid w:val="266145D0"/>
    <w:rsid w:val="26934B38"/>
    <w:rsid w:val="270513CC"/>
    <w:rsid w:val="270B6D25"/>
    <w:rsid w:val="271433BD"/>
    <w:rsid w:val="272730F1"/>
    <w:rsid w:val="272950BB"/>
    <w:rsid w:val="272A2BE1"/>
    <w:rsid w:val="279D33B3"/>
    <w:rsid w:val="27F130D8"/>
    <w:rsid w:val="281D62A2"/>
    <w:rsid w:val="282F6B87"/>
    <w:rsid w:val="283006CB"/>
    <w:rsid w:val="286B1001"/>
    <w:rsid w:val="28814A83"/>
    <w:rsid w:val="28957928"/>
    <w:rsid w:val="28DE3C83"/>
    <w:rsid w:val="28E05C4D"/>
    <w:rsid w:val="28E82D54"/>
    <w:rsid w:val="28FC23EA"/>
    <w:rsid w:val="29332221"/>
    <w:rsid w:val="29B570DA"/>
    <w:rsid w:val="29D33998"/>
    <w:rsid w:val="29E56355"/>
    <w:rsid w:val="29F74C88"/>
    <w:rsid w:val="2A522B7B"/>
    <w:rsid w:val="2A67266B"/>
    <w:rsid w:val="2A7F3244"/>
    <w:rsid w:val="2AEA2DB3"/>
    <w:rsid w:val="2B05199B"/>
    <w:rsid w:val="2B0D0850"/>
    <w:rsid w:val="2B13412C"/>
    <w:rsid w:val="2B14398C"/>
    <w:rsid w:val="2B326508"/>
    <w:rsid w:val="2B5E554F"/>
    <w:rsid w:val="2B724B56"/>
    <w:rsid w:val="2B7D59D5"/>
    <w:rsid w:val="2B7D7783"/>
    <w:rsid w:val="2B991AB0"/>
    <w:rsid w:val="2BB37649"/>
    <w:rsid w:val="2BBD4024"/>
    <w:rsid w:val="2BE060E3"/>
    <w:rsid w:val="2C0B2FE1"/>
    <w:rsid w:val="2C2B5431"/>
    <w:rsid w:val="2C861F08"/>
    <w:rsid w:val="2C901738"/>
    <w:rsid w:val="2CE261DD"/>
    <w:rsid w:val="2CE55431"/>
    <w:rsid w:val="2D016192"/>
    <w:rsid w:val="2D031F0A"/>
    <w:rsid w:val="2D0A14EA"/>
    <w:rsid w:val="2D870D8D"/>
    <w:rsid w:val="2D8C1F00"/>
    <w:rsid w:val="2DA059AB"/>
    <w:rsid w:val="2DA134D1"/>
    <w:rsid w:val="2DC53663"/>
    <w:rsid w:val="2DE22A13"/>
    <w:rsid w:val="2DF06932"/>
    <w:rsid w:val="2DF83A39"/>
    <w:rsid w:val="2E206592"/>
    <w:rsid w:val="2E40570C"/>
    <w:rsid w:val="2E474078"/>
    <w:rsid w:val="2E516CA5"/>
    <w:rsid w:val="2E52128F"/>
    <w:rsid w:val="2E9F3EB4"/>
    <w:rsid w:val="2EC851B9"/>
    <w:rsid w:val="2F0C331C"/>
    <w:rsid w:val="2F1E74CF"/>
    <w:rsid w:val="2F266384"/>
    <w:rsid w:val="2F34284F"/>
    <w:rsid w:val="2F4607D4"/>
    <w:rsid w:val="2F7964B4"/>
    <w:rsid w:val="2F7F7BAD"/>
    <w:rsid w:val="2FE92AA8"/>
    <w:rsid w:val="2FEA115F"/>
    <w:rsid w:val="300761B5"/>
    <w:rsid w:val="300E4AE7"/>
    <w:rsid w:val="30360848"/>
    <w:rsid w:val="306F7830"/>
    <w:rsid w:val="307D0225"/>
    <w:rsid w:val="30C9053D"/>
    <w:rsid w:val="310E0E7D"/>
    <w:rsid w:val="311A1F18"/>
    <w:rsid w:val="3150593A"/>
    <w:rsid w:val="31523460"/>
    <w:rsid w:val="31576CC8"/>
    <w:rsid w:val="31723B02"/>
    <w:rsid w:val="318C4BC4"/>
    <w:rsid w:val="31AA504A"/>
    <w:rsid w:val="31B00187"/>
    <w:rsid w:val="31FD7870"/>
    <w:rsid w:val="32087FC3"/>
    <w:rsid w:val="322C3CB1"/>
    <w:rsid w:val="32C959A4"/>
    <w:rsid w:val="32CC2D9E"/>
    <w:rsid w:val="32D81743"/>
    <w:rsid w:val="3321758E"/>
    <w:rsid w:val="33226E62"/>
    <w:rsid w:val="33260700"/>
    <w:rsid w:val="334943EF"/>
    <w:rsid w:val="3359251C"/>
    <w:rsid w:val="33633703"/>
    <w:rsid w:val="3364747B"/>
    <w:rsid w:val="33955886"/>
    <w:rsid w:val="339A4C4A"/>
    <w:rsid w:val="33A53D1B"/>
    <w:rsid w:val="33E505BB"/>
    <w:rsid w:val="33EC194A"/>
    <w:rsid w:val="33F86541"/>
    <w:rsid w:val="341F2049"/>
    <w:rsid w:val="34282322"/>
    <w:rsid w:val="345E3ECA"/>
    <w:rsid w:val="34761214"/>
    <w:rsid w:val="3491429F"/>
    <w:rsid w:val="34DA5C46"/>
    <w:rsid w:val="34DF500B"/>
    <w:rsid w:val="34EE16F2"/>
    <w:rsid w:val="34FA01B3"/>
    <w:rsid w:val="35213875"/>
    <w:rsid w:val="352E18DC"/>
    <w:rsid w:val="35494B7A"/>
    <w:rsid w:val="355C665B"/>
    <w:rsid w:val="35675000"/>
    <w:rsid w:val="35680917"/>
    <w:rsid w:val="35C83CF1"/>
    <w:rsid w:val="35F26FC0"/>
    <w:rsid w:val="35F9034E"/>
    <w:rsid w:val="36274EBB"/>
    <w:rsid w:val="362D1DA6"/>
    <w:rsid w:val="36356EAC"/>
    <w:rsid w:val="36484E32"/>
    <w:rsid w:val="365B4B65"/>
    <w:rsid w:val="365B6913"/>
    <w:rsid w:val="36625EF3"/>
    <w:rsid w:val="367244CE"/>
    <w:rsid w:val="367F4CF7"/>
    <w:rsid w:val="369260AD"/>
    <w:rsid w:val="36A858D0"/>
    <w:rsid w:val="36B77C11"/>
    <w:rsid w:val="36BD75CE"/>
    <w:rsid w:val="36F00EDF"/>
    <w:rsid w:val="36FF3742"/>
    <w:rsid w:val="373B04F2"/>
    <w:rsid w:val="374750E9"/>
    <w:rsid w:val="37476E97"/>
    <w:rsid w:val="375D66BB"/>
    <w:rsid w:val="3770728F"/>
    <w:rsid w:val="37AB38CA"/>
    <w:rsid w:val="37E56DDC"/>
    <w:rsid w:val="380D1E8F"/>
    <w:rsid w:val="382F0057"/>
    <w:rsid w:val="3857597E"/>
    <w:rsid w:val="38795776"/>
    <w:rsid w:val="387D5266"/>
    <w:rsid w:val="38857012"/>
    <w:rsid w:val="38897239"/>
    <w:rsid w:val="388C36FB"/>
    <w:rsid w:val="388E7474"/>
    <w:rsid w:val="38A417F8"/>
    <w:rsid w:val="38AA7519"/>
    <w:rsid w:val="38B713AB"/>
    <w:rsid w:val="38DE382B"/>
    <w:rsid w:val="38EC5F48"/>
    <w:rsid w:val="38FE7D77"/>
    <w:rsid w:val="391D25A6"/>
    <w:rsid w:val="39441D80"/>
    <w:rsid w:val="39AF5FE9"/>
    <w:rsid w:val="39C96289"/>
    <w:rsid w:val="39F07CBA"/>
    <w:rsid w:val="39F72DF7"/>
    <w:rsid w:val="39F74BA5"/>
    <w:rsid w:val="3A007301"/>
    <w:rsid w:val="3A137505"/>
    <w:rsid w:val="3A2B55C8"/>
    <w:rsid w:val="3A452DA9"/>
    <w:rsid w:val="3A986D2C"/>
    <w:rsid w:val="3ABE3914"/>
    <w:rsid w:val="3AD66EB0"/>
    <w:rsid w:val="3AF17846"/>
    <w:rsid w:val="3AF86E26"/>
    <w:rsid w:val="3AFF6F7B"/>
    <w:rsid w:val="3B091033"/>
    <w:rsid w:val="3B0C4680"/>
    <w:rsid w:val="3B0F5F1E"/>
    <w:rsid w:val="3B1A3241"/>
    <w:rsid w:val="3B365BA1"/>
    <w:rsid w:val="3B76775E"/>
    <w:rsid w:val="3B8B4B6D"/>
    <w:rsid w:val="3B9823B7"/>
    <w:rsid w:val="3BCA5180"/>
    <w:rsid w:val="3BDA11E9"/>
    <w:rsid w:val="3BF375EE"/>
    <w:rsid w:val="3C1F4887"/>
    <w:rsid w:val="3C3976F6"/>
    <w:rsid w:val="3C826230"/>
    <w:rsid w:val="3C831623"/>
    <w:rsid w:val="3CC52D38"/>
    <w:rsid w:val="3CEF24AB"/>
    <w:rsid w:val="3D496EB4"/>
    <w:rsid w:val="3D792215"/>
    <w:rsid w:val="3DEC2546"/>
    <w:rsid w:val="3DF5764D"/>
    <w:rsid w:val="3E104487"/>
    <w:rsid w:val="3E5F25DA"/>
    <w:rsid w:val="3E79001F"/>
    <w:rsid w:val="3EB05C6A"/>
    <w:rsid w:val="3F2F6B8F"/>
    <w:rsid w:val="3F635767"/>
    <w:rsid w:val="3F694AB8"/>
    <w:rsid w:val="3F7A2500"/>
    <w:rsid w:val="3FEA0D08"/>
    <w:rsid w:val="3FF37BBC"/>
    <w:rsid w:val="3FF60A02"/>
    <w:rsid w:val="40185875"/>
    <w:rsid w:val="404228F2"/>
    <w:rsid w:val="405C39B3"/>
    <w:rsid w:val="40644F5E"/>
    <w:rsid w:val="40752CC7"/>
    <w:rsid w:val="407C4056"/>
    <w:rsid w:val="40AB611F"/>
    <w:rsid w:val="40CE5957"/>
    <w:rsid w:val="40DF4BB2"/>
    <w:rsid w:val="40EF37ED"/>
    <w:rsid w:val="4105404B"/>
    <w:rsid w:val="41187806"/>
    <w:rsid w:val="412F731A"/>
    <w:rsid w:val="416C61F3"/>
    <w:rsid w:val="41A03D74"/>
    <w:rsid w:val="41AA34F2"/>
    <w:rsid w:val="41BE6C7A"/>
    <w:rsid w:val="41E06866"/>
    <w:rsid w:val="41EC0D67"/>
    <w:rsid w:val="41FC798D"/>
    <w:rsid w:val="425E5F23"/>
    <w:rsid w:val="42850411"/>
    <w:rsid w:val="4292190E"/>
    <w:rsid w:val="42A33B1C"/>
    <w:rsid w:val="43004304"/>
    <w:rsid w:val="430346AE"/>
    <w:rsid w:val="43566A75"/>
    <w:rsid w:val="43CF0940"/>
    <w:rsid w:val="43E53CC0"/>
    <w:rsid w:val="44056110"/>
    <w:rsid w:val="44296BDC"/>
    <w:rsid w:val="443B5FD6"/>
    <w:rsid w:val="44451010"/>
    <w:rsid w:val="444B58CC"/>
    <w:rsid w:val="44557097"/>
    <w:rsid w:val="44B32010"/>
    <w:rsid w:val="44B87626"/>
    <w:rsid w:val="44D0671E"/>
    <w:rsid w:val="451C5E07"/>
    <w:rsid w:val="45241A3A"/>
    <w:rsid w:val="452C75FB"/>
    <w:rsid w:val="45440EBA"/>
    <w:rsid w:val="45837C34"/>
    <w:rsid w:val="45857508"/>
    <w:rsid w:val="459E0741"/>
    <w:rsid w:val="460E5208"/>
    <w:rsid w:val="46510E5A"/>
    <w:rsid w:val="46623CEE"/>
    <w:rsid w:val="46E46CF4"/>
    <w:rsid w:val="46E6047B"/>
    <w:rsid w:val="470248DE"/>
    <w:rsid w:val="4702511F"/>
    <w:rsid w:val="470923BB"/>
    <w:rsid w:val="47413903"/>
    <w:rsid w:val="47700ADD"/>
    <w:rsid w:val="4776403A"/>
    <w:rsid w:val="477E4B57"/>
    <w:rsid w:val="479C2541"/>
    <w:rsid w:val="480037BE"/>
    <w:rsid w:val="48362D3C"/>
    <w:rsid w:val="48716663"/>
    <w:rsid w:val="48A135EE"/>
    <w:rsid w:val="48F055E1"/>
    <w:rsid w:val="48FB5D34"/>
    <w:rsid w:val="492E7EB7"/>
    <w:rsid w:val="493D00FA"/>
    <w:rsid w:val="494F64C9"/>
    <w:rsid w:val="4957464A"/>
    <w:rsid w:val="49647D7D"/>
    <w:rsid w:val="49956188"/>
    <w:rsid w:val="4999531C"/>
    <w:rsid w:val="49A42E35"/>
    <w:rsid w:val="49B02FC2"/>
    <w:rsid w:val="49DA3B9B"/>
    <w:rsid w:val="49EA0282"/>
    <w:rsid w:val="49FA5FEB"/>
    <w:rsid w:val="4A01538E"/>
    <w:rsid w:val="4A02381D"/>
    <w:rsid w:val="4A5144F5"/>
    <w:rsid w:val="4AA04DE4"/>
    <w:rsid w:val="4AA91EEB"/>
    <w:rsid w:val="4AC64D68"/>
    <w:rsid w:val="4AF40C8C"/>
    <w:rsid w:val="4AF869CF"/>
    <w:rsid w:val="4B097149"/>
    <w:rsid w:val="4B3F63AB"/>
    <w:rsid w:val="4B4439C2"/>
    <w:rsid w:val="4B8D5369"/>
    <w:rsid w:val="4BDE3E16"/>
    <w:rsid w:val="4BFB49C8"/>
    <w:rsid w:val="4C023F8C"/>
    <w:rsid w:val="4C0F3FD0"/>
    <w:rsid w:val="4C1800C1"/>
    <w:rsid w:val="4C2C4B82"/>
    <w:rsid w:val="4C800A2A"/>
    <w:rsid w:val="4CAC5CC3"/>
    <w:rsid w:val="4CDC2F1E"/>
    <w:rsid w:val="4D2C0BB1"/>
    <w:rsid w:val="4D4B7289"/>
    <w:rsid w:val="4D4F031E"/>
    <w:rsid w:val="4D643225"/>
    <w:rsid w:val="4D6640C3"/>
    <w:rsid w:val="4D754306"/>
    <w:rsid w:val="4D7C38E7"/>
    <w:rsid w:val="4D9724CF"/>
    <w:rsid w:val="4D994499"/>
    <w:rsid w:val="4DA80092"/>
    <w:rsid w:val="4DA846DC"/>
    <w:rsid w:val="4DAB1AD6"/>
    <w:rsid w:val="4E281379"/>
    <w:rsid w:val="4E564138"/>
    <w:rsid w:val="4EE554BC"/>
    <w:rsid w:val="4F5435BF"/>
    <w:rsid w:val="4F5C39D0"/>
    <w:rsid w:val="4F610FE6"/>
    <w:rsid w:val="4F635BE7"/>
    <w:rsid w:val="4F7B197C"/>
    <w:rsid w:val="4F7B372A"/>
    <w:rsid w:val="4F912F4E"/>
    <w:rsid w:val="4FB235F0"/>
    <w:rsid w:val="4FB629B4"/>
    <w:rsid w:val="4FC85106"/>
    <w:rsid w:val="4FDA48F2"/>
    <w:rsid w:val="4FE64355"/>
    <w:rsid w:val="4FE6773D"/>
    <w:rsid w:val="50151DD1"/>
    <w:rsid w:val="505111D5"/>
    <w:rsid w:val="509B22D6"/>
    <w:rsid w:val="50E53551"/>
    <w:rsid w:val="50E56214"/>
    <w:rsid w:val="512027DB"/>
    <w:rsid w:val="513E0EB3"/>
    <w:rsid w:val="513F7105"/>
    <w:rsid w:val="51450494"/>
    <w:rsid w:val="51B03B5F"/>
    <w:rsid w:val="51B51175"/>
    <w:rsid w:val="51C00F91"/>
    <w:rsid w:val="51D81308"/>
    <w:rsid w:val="51DC0DF8"/>
    <w:rsid w:val="51F55A16"/>
    <w:rsid w:val="51F6353C"/>
    <w:rsid w:val="520E0886"/>
    <w:rsid w:val="5248023B"/>
    <w:rsid w:val="52586507"/>
    <w:rsid w:val="52635075"/>
    <w:rsid w:val="5288688A"/>
    <w:rsid w:val="52B9600D"/>
    <w:rsid w:val="52F537F4"/>
    <w:rsid w:val="53163E96"/>
    <w:rsid w:val="534D68B8"/>
    <w:rsid w:val="53750119"/>
    <w:rsid w:val="537A08C9"/>
    <w:rsid w:val="537F7C8D"/>
    <w:rsid w:val="53963229"/>
    <w:rsid w:val="53D77AC9"/>
    <w:rsid w:val="53D8739D"/>
    <w:rsid w:val="53E45D42"/>
    <w:rsid w:val="53E915AA"/>
    <w:rsid w:val="53F65A75"/>
    <w:rsid w:val="53F74CF2"/>
    <w:rsid w:val="53F817ED"/>
    <w:rsid w:val="541C1980"/>
    <w:rsid w:val="543E18F6"/>
    <w:rsid w:val="548B440F"/>
    <w:rsid w:val="54996B2C"/>
    <w:rsid w:val="54B576DE"/>
    <w:rsid w:val="54C16083"/>
    <w:rsid w:val="55287EB0"/>
    <w:rsid w:val="554A7E27"/>
    <w:rsid w:val="556C2493"/>
    <w:rsid w:val="556F6521"/>
    <w:rsid w:val="559612BE"/>
    <w:rsid w:val="559973DD"/>
    <w:rsid w:val="559B2D78"/>
    <w:rsid w:val="55FD133D"/>
    <w:rsid w:val="56075D18"/>
    <w:rsid w:val="56196099"/>
    <w:rsid w:val="5641226C"/>
    <w:rsid w:val="564C5FB4"/>
    <w:rsid w:val="56576C9F"/>
    <w:rsid w:val="565C42B5"/>
    <w:rsid w:val="566F21D7"/>
    <w:rsid w:val="56757125"/>
    <w:rsid w:val="56AD2D63"/>
    <w:rsid w:val="56B75990"/>
    <w:rsid w:val="56C87B9D"/>
    <w:rsid w:val="56D7393C"/>
    <w:rsid w:val="56EB388B"/>
    <w:rsid w:val="56F269C8"/>
    <w:rsid w:val="57362D58"/>
    <w:rsid w:val="5753390A"/>
    <w:rsid w:val="57542FA2"/>
    <w:rsid w:val="57A22C31"/>
    <w:rsid w:val="57B91294"/>
    <w:rsid w:val="580F0E56"/>
    <w:rsid w:val="58331046"/>
    <w:rsid w:val="583628E4"/>
    <w:rsid w:val="583A6878"/>
    <w:rsid w:val="5849729B"/>
    <w:rsid w:val="5862192B"/>
    <w:rsid w:val="586D09FC"/>
    <w:rsid w:val="58913FBE"/>
    <w:rsid w:val="58977827"/>
    <w:rsid w:val="58C779E0"/>
    <w:rsid w:val="58F805C3"/>
    <w:rsid w:val="59097FF9"/>
    <w:rsid w:val="59353E76"/>
    <w:rsid w:val="596040BD"/>
    <w:rsid w:val="598C7885"/>
    <w:rsid w:val="599124C8"/>
    <w:rsid w:val="59AA17DC"/>
    <w:rsid w:val="59BE0DE3"/>
    <w:rsid w:val="59D10B16"/>
    <w:rsid w:val="59D32AE1"/>
    <w:rsid w:val="59DF3AC9"/>
    <w:rsid w:val="5A013892"/>
    <w:rsid w:val="5A2232A3"/>
    <w:rsid w:val="5A382944"/>
    <w:rsid w:val="5A3A52BB"/>
    <w:rsid w:val="5A4E14F8"/>
    <w:rsid w:val="5A7B6CD4"/>
    <w:rsid w:val="5A875679"/>
    <w:rsid w:val="5AA955EF"/>
    <w:rsid w:val="5ABC17C7"/>
    <w:rsid w:val="5AC661A1"/>
    <w:rsid w:val="5AD75C2C"/>
    <w:rsid w:val="5AE14D89"/>
    <w:rsid w:val="5B14628F"/>
    <w:rsid w:val="5B225BC7"/>
    <w:rsid w:val="5B5C08B4"/>
    <w:rsid w:val="5B647768"/>
    <w:rsid w:val="5B6854AA"/>
    <w:rsid w:val="5B7B51DE"/>
    <w:rsid w:val="5B90055D"/>
    <w:rsid w:val="5B997251"/>
    <w:rsid w:val="5BA1276A"/>
    <w:rsid w:val="5BDE576D"/>
    <w:rsid w:val="5C316B79"/>
    <w:rsid w:val="5C361105"/>
    <w:rsid w:val="5C767E8A"/>
    <w:rsid w:val="5CFE60C6"/>
    <w:rsid w:val="5DC34C1A"/>
    <w:rsid w:val="5E1A16ED"/>
    <w:rsid w:val="5E7F4FE5"/>
    <w:rsid w:val="5E916AC6"/>
    <w:rsid w:val="5E9345EC"/>
    <w:rsid w:val="5EA4075B"/>
    <w:rsid w:val="5EC306BC"/>
    <w:rsid w:val="5F074FDA"/>
    <w:rsid w:val="5F5A1DAA"/>
    <w:rsid w:val="5FB7255D"/>
    <w:rsid w:val="5FC52ECB"/>
    <w:rsid w:val="5FC627A0"/>
    <w:rsid w:val="5FEA46E0"/>
    <w:rsid w:val="6017124D"/>
    <w:rsid w:val="60262110"/>
    <w:rsid w:val="604D1FAD"/>
    <w:rsid w:val="608515D1"/>
    <w:rsid w:val="608941DD"/>
    <w:rsid w:val="60B92304"/>
    <w:rsid w:val="60E7004C"/>
    <w:rsid w:val="60FC22A0"/>
    <w:rsid w:val="611425A4"/>
    <w:rsid w:val="613A1942"/>
    <w:rsid w:val="61412A26"/>
    <w:rsid w:val="617C580C"/>
    <w:rsid w:val="61B02C71"/>
    <w:rsid w:val="61BC3E5A"/>
    <w:rsid w:val="621243C2"/>
    <w:rsid w:val="62570027"/>
    <w:rsid w:val="627110E9"/>
    <w:rsid w:val="6291178B"/>
    <w:rsid w:val="62A36DC8"/>
    <w:rsid w:val="62A80882"/>
    <w:rsid w:val="62D96C8E"/>
    <w:rsid w:val="630C5394"/>
    <w:rsid w:val="635B58F5"/>
    <w:rsid w:val="636D1CC1"/>
    <w:rsid w:val="638D1F52"/>
    <w:rsid w:val="639451D1"/>
    <w:rsid w:val="63A4729C"/>
    <w:rsid w:val="63BD210C"/>
    <w:rsid w:val="63DC07E4"/>
    <w:rsid w:val="63E1229E"/>
    <w:rsid w:val="63E1404C"/>
    <w:rsid w:val="63EB4ECB"/>
    <w:rsid w:val="64025D70"/>
    <w:rsid w:val="643248A8"/>
    <w:rsid w:val="645E38EF"/>
    <w:rsid w:val="64614629"/>
    <w:rsid w:val="64664551"/>
    <w:rsid w:val="64E831B8"/>
    <w:rsid w:val="65605411"/>
    <w:rsid w:val="65605444"/>
    <w:rsid w:val="656B4B25"/>
    <w:rsid w:val="65744AF7"/>
    <w:rsid w:val="6587477F"/>
    <w:rsid w:val="65A43583"/>
    <w:rsid w:val="66140709"/>
    <w:rsid w:val="66216B52"/>
    <w:rsid w:val="668D2269"/>
    <w:rsid w:val="66A31A8D"/>
    <w:rsid w:val="66A67F5C"/>
    <w:rsid w:val="66B45A48"/>
    <w:rsid w:val="66BA3EEB"/>
    <w:rsid w:val="66CA7019"/>
    <w:rsid w:val="670544F5"/>
    <w:rsid w:val="670B2B20"/>
    <w:rsid w:val="6717445A"/>
    <w:rsid w:val="673D5A3D"/>
    <w:rsid w:val="676905E0"/>
    <w:rsid w:val="67753429"/>
    <w:rsid w:val="6780592A"/>
    <w:rsid w:val="679743EE"/>
    <w:rsid w:val="679D64DC"/>
    <w:rsid w:val="67EA30C3"/>
    <w:rsid w:val="68050BAD"/>
    <w:rsid w:val="681B6D84"/>
    <w:rsid w:val="68555008"/>
    <w:rsid w:val="685B68C1"/>
    <w:rsid w:val="685C0145"/>
    <w:rsid w:val="686A3A3E"/>
    <w:rsid w:val="68AB2E7A"/>
    <w:rsid w:val="68C33D20"/>
    <w:rsid w:val="68CF029D"/>
    <w:rsid w:val="68E8291F"/>
    <w:rsid w:val="69417B15"/>
    <w:rsid w:val="694E2184"/>
    <w:rsid w:val="694F3806"/>
    <w:rsid w:val="695E1C9B"/>
    <w:rsid w:val="69A04061"/>
    <w:rsid w:val="69B13847"/>
    <w:rsid w:val="69B90695"/>
    <w:rsid w:val="69EE301F"/>
    <w:rsid w:val="6A331AB4"/>
    <w:rsid w:val="6A4172C4"/>
    <w:rsid w:val="6A474B69"/>
    <w:rsid w:val="6A507835"/>
    <w:rsid w:val="6A570968"/>
    <w:rsid w:val="6A794FDE"/>
    <w:rsid w:val="6AAC352E"/>
    <w:rsid w:val="6AD761A9"/>
    <w:rsid w:val="6B517D09"/>
    <w:rsid w:val="6BB34917"/>
    <w:rsid w:val="6BC26511"/>
    <w:rsid w:val="6BCC3834"/>
    <w:rsid w:val="6BFB1A23"/>
    <w:rsid w:val="6C1D408F"/>
    <w:rsid w:val="6C1F5711"/>
    <w:rsid w:val="6C2B055A"/>
    <w:rsid w:val="6C5A0E3F"/>
    <w:rsid w:val="6C7405E2"/>
    <w:rsid w:val="6CB03771"/>
    <w:rsid w:val="6CC95BD9"/>
    <w:rsid w:val="6D110190"/>
    <w:rsid w:val="6D266F73"/>
    <w:rsid w:val="6D6C0E2A"/>
    <w:rsid w:val="6D8F4B19"/>
    <w:rsid w:val="6D981032"/>
    <w:rsid w:val="6DAF0D17"/>
    <w:rsid w:val="6DBB3B60"/>
    <w:rsid w:val="6DC20A4A"/>
    <w:rsid w:val="6DC44832"/>
    <w:rsid w:val="6E096679"/>
    <w:rsid w:val="6E602011"/>
    <w:rsid w:val="6E707686"/>
    <w:rsid w:val="6E737F96"/>
    <w:rsid w:val="6E755ABD"/>
    <w:rsid w:val="6EB5235D"/>
    <w:rsid w:val="6F3B6D06"/>
    <w:rsid w:val="6F5079E2"/>
    <w:rsid w:val="6F5222A2"/>
    <w:rsid w:val="6F616041"/>
    <w:rsid w:val="6F6804B7"/>
    <w:rsid w:val="6F773AB6"/>
    <w:rsid w:val="6F80537A"/>
    <w:rsid w:val="6FDC3E42"/>
    <w:rsid w:val="6FE4739E"/>
    <w:rsid w:val="6FEB7EFB"/>
    <w:rsid w:val="70254AB1"/>
    <w:rsid w:val="702A28D7"/>
    <w:rsid w:val="705067E1"/>
    <w:rsid w:val="70926DFA"/>
    <w:rsid w:val="70933CA7"/>
    <w:rsid w:val="709D579F"/>
    <w:rsid w:val="70AB3A18"/>
    <w:rsid w:val="70BF74C3"/>
    <w:rsid w:val="70C7743A"/>
    <w:rsid w:val="70CD6084"/>
    <w:rsid w:val="70D70CB1"/>
    <w:rsid w:val="70F84783"/>
    <w:rsid w:val="70FD7FEB"/>
    <w:rsid w:val="71233EF6"/>
    <w:rsid w:val="71542301"/>
    <w:rsid w:val="715E6CDC"/>
    <w:rsid w:val="718B55F7"/>
    <w:rsid w:val="71EC253A"/>
    <w:rsid w:val="72121874"/>
    <w:rsid w:val="721C32AD"/>
    <w:rsid w:val="723E15EF"/>
    <w:rsid w:val="728704B4"/>
    <w:rsid w:val="72897D89"/>
    <w:rsid w:val="72B1108D"/>
    <w:rsid w:val="72B8241C"/>
    <w:rsid w:val="73076EFF"/>
    <w:rsid w:val="7337264A"/>
    <w:rsid w:val="73375A36"/>
    <w:rsid w:val="733A1014"/>
    <w:rsid w:val="737722D7"/>
    <w:rsid w:val="739A7D73"/>
    <w:rsid w:val="73B80EB6"/>
    <w:rsid w:val="73CD77C0"/>
    <w:rsid w:val="73D375FF"/>
    <w:rsid w:val="73D96AEE"/>
    <w:rsid w:val="73ED633D"/>
    <w:rsid w:val="740F42BD"/>
    <w:rsid w:val="74272252"/>
    <w:rsid w:val="744D4DE6"/>
    <w:rsid w:val="7460720F"/>
    <w:rsid w:val="74A0585D"/>
    <w:rsid w:val="74ED60D4"/>
    <w:rsid w:val="750100DA"/>
    <w:rsid w:val="751A116C"/>
    <w:rsid w:val="7537199C"/>
    <w:rsid w:val="754107EB"/>
    <w:rsid w:val="75617519"/>
    <w:rsid w:val="758209A7"/>
    <w:rsid w:val="759C43DE"/>
    <w:rsid w:val="75AB53EB"/>
    <w:rsid w:val="75D23179"/>
    <w:rsid w:val="75E108C1"/>
    <w:rsid w:val="762100F8"/>
    <w:rsid w:val="76261D92"/>
    <w:rsid w:val="762F0C47"/>
    <w:rsid w:val="762F6E99"/>
    <w:rsid w:val="76373F9F"/>
    <w:rsid w:val="76636B42"/>
    <w:rsid w:val="767C2645"/>
    <w:rsid w:val="76A01B45"/>
    <w:rsid w:val="76B15B00"/>
    <w:rsid w:val="76CB29FB"/>
    <w:rsid w:val="76EC4D8A"/>
    <w:rsid w:val="77147E3D"/>
    <w:rsid w:val="771B741D"/>
    <w:rsid w:val="772E0EFE"/>
    <w:rsid w:val="773D57FB"/>
    <w:rsid w:val="774C5829"/>
    <w:rsid w:val="774E15A1"/>
    <w:rsid w:val="779F3BAA"/>
    <w:rsid w:val="77E65308"/>
    <w:rsid w:val="77EB6DF0"/>
    <w:rsid w:val="7803238B"/>
    <w:rsid w:val="78063C29"/>
    <w:rsid w:val="78745037"/>
    <w:rsid w:val="787F7564"/>
    <w:rsid w:val="78C07C3D"/>
    <w:rsid w:val="78EC6948"/>
    <w:rsid w:val="78EE39CC"/>
    <w:rsid w:val="78FC42EB"/>
    <w:rsid w:val="79075EAB"/>
    <w:rsid w:val="790A599B"/>
    <w:rsid w:val="790E5884"/>
    <w:rsid w:val="79411E6E"/>
    <w:rsid w:val="797057FE"/>
    <w:rsid w:val="7984574E"/>
    <w:rsid w:val="798968C0"/>
    <w:rsid w:val="799B65F3"/>
    <w:rsid w:val="79CE0777"/>
    <w:rsid w:val="7A4B626B"/>
    <w:rsid w:val="7A725303"/>
    <w:rsid w:val="7AE91D0C"/>
    <w:rsid w:val="7AFB1A3F"/>
    <w:rsid w:val="7B1B3E90"/>
    <w:rsid w:val="7B2F0950"/>
    <w:rsid w:val="7B3633BB"/>
    <w:rsid w:val="7B5D1DB2"/>
    <w:rsid w:val="7BD90014"/>
    <w:rsid w:val="7BE91898"/>
    <w:rsid w:val="7C215DD3"/>
    <w:rsid w:val="7C224DAA"/>
    <w:rsid w:val="7C39281F"/>
    <w:rsid w:val="7C43229A"/>
    <w:rsid w:val="7C5B09E8"/>
    <w:rsid w:val="7C635AEE"/>
    <w:rsid w:val="7C662EE9"/>
    <w:rsid w:val="7C7B4435"/>
    <w:rsid w:val="7CA83CD1"/>
    <w:rsid w:val="7CB1685A"/>
    <w:rsid w:val="7CB42261"/>
    <w:rsid w:val="7CB85367"/>
    <w:rsid w:val="7CC85951"/>
    <w:rsid w:val="7CDB7267"/>
    <w:rsid w:val="7CE02C9B"/>
    <w:rsid w:val="7D2F59D0"/>
    <w:rsid w:val="7D676E06"/>
    <w:rsid w:val="7D7004C3"/>
    <w:rsid w:val="7D871368"/>
    <w:rsid w:val="7D87580C"/>
    <w:rsid w:val="7D8E3EDB"/>
    <w:rsid w:val="7DA243F4"/>
    <w:rsid w:val="7DAE4B47"/>
    <w:rsid w:val="7DCC1471"/>
    <w:rsid w:val="7DE44A0D"/>
    <w:rsid w:val="7DF32EA2"/>
    <w:rsid w:val="7DFB65C5"/>
    <w:rsid w:val="7E70004F"/>
    <w:rsid w:val="7E722019"/>
    <w:rsid w:val="7E8A55B4"/>
    <w:rsid w:val="7ED14F91"/>
    <w:rsid w:val="7EDB5E10"/>
    <w:rsid w:val="7F0B7D77"/>
    <w:rsid w:val="7F2424A1"/>
    <w:rsid w:val="7F6862B5"/>
    <w:rsid w:val="7FA44454"/>
    <w:rsid w:val="7FB55BCC"/>
    <w:rsid w:val="7FB623D9"/>
    <w:rsid w:val="7FBA1FC4"/>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34"/>
    <w:autoRedefine/>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3"/>
    <w:autoRedefine/>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57"/>
    <w:autoRedefine/>
    <w:unhideWhenUsed/>
    <w:qFormat/>
    <w:uiPriority w:val="0"/>
  </w:style>
  <w:style w:type="paragraph" w:styleId="8">
    <w:name w:val="Body Text"/>
    <w:basedOn w:val="1"/>
    <w:link w:val="53"/>
    <w:autoRedefine/>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next w:val="10"/>
    <w:autoRedefine/>
    <w:qFormat/>
    <w:uiPriority w:val="0"/>
    <w:pPr>
      <w:spacing w:line="440" w:lineRule="exact"/>
      <w:ind w:firstLine="403" w:firstLineChars="192"/>
    </w:pPr>
    <w:rPr>
      <w:rFonts w:ascii="宋体" w:hAnsi="宋体" w:eastAsia="宋体" w:cs="宋体"/>
      <w:szCs w:val="21"/>
    </w:rPr>
  </w:style>
  <w:style w:type="paragraph" w:styleId="10">
    <w:name w:val="envelope return"/>
    <w:basedOn w:val="1"/>
    <w:autoRedefine/>
    <w:qFormat/>
    <w:uiPriority w:val="0"/>
    <w:rPr>
      <w:rFonts w:ascii="Arial" w:hAnsi="Arial"/>
    </w:rPr>
  </w:style>
  <w:style w:type="paragraph" w:styleId="11">
    <w:name w:val="Block Text"/>
    <w:basedOn w:val="1"/>
    <w:autoRedefine/>
    <w:unhideWhenUsed/>
    <w:qFormat/>
    <w:uiPriority w:val="99"/>
    <w:pPr>
      <w:spacing w:after="120"/>
      <w:ind w:left="1440" w:leftChars="700" w:right="1440" w:rightChars="700"/>
    </w:pPr>
  </w:style>
  <w:style w:type="paragraph" w:styleId="12">
    <w:name w:val="index 4"/>
    <w:basedOn w:val="1"/>
    <w:next w:val="1"/>
    <w:autoRedefine/>
    <w:qFormat/>
    <w:uiPriority w:val="99"/>
    <w:pPr>
      <w:ind w:left="600" w:leftChars="600"/>
    </w:pPr>
    <w:rPr>
      <w:rFonts w:ascii="Calibri" w:hAnsi="Calibri"/>
    </w:rPr>
  </w:style>
  <w:style w:type="paragraph" w:styleId="13">
    <w:name w:val="toc 3"/>
    <w:basedOn w:val="1"/>
    <w:next w:val="1"/>
    <w:autoRedefine/>
    <w:semiHidden/>
    <w:unhideWhenUsed/>
    <w:qFormat/>
    <w:uiPriority w:val="39"/>
    <w:pPr>
      <w:ind w:left="840" w:leftChars="400"/>
    </w:pPr>
  </w:style>
  <w:style w:type="paragraph" w:styleId="14">
    <w:name w:val="Plain Text"/>
    <w:basedOn w:val="1"/>
    <w:link w:val="47"/>
    <w:autoRedefine/>
    <w:qFormat/>
    <w:uiPriority w:val="0"/>
    <w:pPr>
      <w:widowControl w:val="0"/>
      <w:adjustRightInd/>
      <w:snapToGrid/>
      <w:spacing w:after="0"/>
      <w:jc w:val="both"/>
    </w:pPr>
    <w:rPr>
      <w:rFonts w:ascii="宋体" w:hAnsi="Courier New" w:cs="Courier New"/>
      <w:kern w:val="2"/>
      <w:sz w:val="21"/>
      <w:szCs w:val="21"/>
    </w:rPr>
  </w:style>
  <w:style w:type="paragraph" w:styleId="15">
    <w:name w:val="Balloon Text"/>
    <w:basedOn w:val="1"/>
    <w:link w:val="54"/>
    <w:autoRedefine/>
    <w:semiHidden/>
    <w:unhideWhenUsed/>
    <w:qFormat/>
    <w:uiPriority w:val="99"/>
    <w:pPr>
      <w:spacing w:after="0"/>
    </w:pPr>
    <w:rPr>
      <w:sz w:val="18"/>
      <w:szCs w:val="18"/>
    </w:rPr>
  </w:style>
  <w:style w:type="paragraph" w:styleId="16">
    <w:name w:val="footer"/>
    <w:basedOn w:val="1"/>
    <w:link w:val="33"/>
    <w:autoRedefine/>
    <w:unhideWhenUsed/>
    <w:qFormat/>
    <w:uiPriority w:val="99"/>
    <w:pPr>
      <w:tabs>
        <w:tab w:val="center" w:pos="4153"/>
        <w:tab w:val="right" w:pos="8306"/>
      </w:tabs>
    </w:pPr>
    <w:rPr>
      <w:sz w:val="18"/>
      <w:szCs w:val="18"/>
    </w:rPr>
  </w:style>
  <w:style w:type="paragraph" w:styleId="17">
    <w:name w:val="header"/>
    <w:basedOn w:val="1"/>
    <w:link w:val="32"/>
    <w:autoRedefine/>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autoRedefine/>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9">
    <w:name w:val="toc 2"/>
    <w:basedOn w:val="1"/>
    <w:next w:val="1"/>
    <w:autoRedefine/>
    <w:semiHidden/>
    <w:unhideWhenUsed/>
    <w:qFormat/>
    <w:uiPriority w:val="39"/>
    <w:pPr>
      <w:ind w:left="420" w:leftChars="200"/>
    </w:pPr>
  </w:style>
  <w:style w:type="paragraph" w:styleId="20">
    <w:name w:val="Normal (Web)"/>
    <w:basedOn w:val="1"/>
    <w:semiHidden/>
    <w:unhideWhenUsed/>
    <w:qFormat/>
    <w:uiPriority w:val="99"/>
    <w:pPr>
      <w:spacing w:beforeAutospacing="1" w:after="0" w:afterAutospacing="1"/>
    </w:pPr>
    <w:rPr>
      <w:rFonts w:cs="Times New Roman"/>
      <w:sz w:val="24"/>
    </w:rPr>
  </w:style>
  <w:style w:type="paragraph" w:styleId="21">
    <w:name w:val="Title"/>
    <w:basedOn w:val="1"/>
    <w:next w:val="1"/>
    <w:link w:val="44"/>
    <w:autoRedefine/>
    <w:qFormat/>
    <w:uiPriority w:val="0"/>
    <w:pPr>
      <w:widowControl w:val="0"/>
      <w:adjustRightInd/>
      <w:snapToGrid/>
      <w:spacing w:before="240" w:after="60"/>
      <w:jc w:val="center"/>
      <w:outlineLvl w:val="0"/>
    </w:pPr>
    <w:rPr>
      <w:rFonts w:ascii="Cambria" w:hAnsi="Cambria"/>
      <w:b/>
      <w:bCs/>
      <w:kern w:val="2"/>
      <w:sz w:val="32"/>
      <w:szCs w:val="32"/>
    </w:rPr>
  </w:style>
  <w:style w:type="paragraph" w:styleId="22">
    <w:name w:val="annotation subject"/>
    <w:basedOn w:val="7"/>
    <w:next w:val="7"/>
    <w:link w:val="58"/>
    <w:autoRedefine/>
    <w:semiHidden/>
    <w:unhideWhenUsed/>
    <w:qFormat/>
    <w:uiPriority w:val="99"/>
    <w:rPr>
      <w:b/>
      <w:bCs/>
    </w:rPr>
  </w:style>
  <w:style w:type="paragraph" w:styleId="23">
    <w:name w:val="Body Text First Indent 2"/>
    <w:basedOn w:val="9"/>
    <w:next w:val="1"/>
    <w:autoRedefine/>
    <w:qFormat/>
    <w:uiPriority w:val="99"/>
    <w:pPr>
      <w:widowControl w:val="0"/>
      <w:ind w:firstLine="420" w:firstLineChars="200"/>
      <w:jc w:val="both"/>
    </w:pPr>
    <w:rPr>
      <w:rFonts w:ascii="Calibri" w:hAnsi="Calibri" w:cs="Calibri"/>
      <w:kern w:val="2"/>
      <w:sz w:val="21"/>
    </w:rPr>
  </w:style>
  <w:style w:type="table" w:styleId="25">
    <w:name w:val="Table Grid"/>
    <w:basedOn w:val="24"/>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basedOn w:val="26"/>
    <w:autoRedefine/>
    <w:qFormat/>
    <w:uiPriority w:val="0"/>
  </w:style>
  <w:style w:type="character" w:styleId="29">
    <w:name w:val="Emphasis"/>
    <w:basedOn w:val="26"/>
    <w:qFormat/>
    <w:uiPriority w:val="20"/>
    <w:rPr>
      <w:i/>
    </w:rPr>
  </w:style>
  <w:style w:type="character" w:styleId="30">
    <w:name w:val="Hyperlink"/>
    <w:autoRedefine/>
    <w:qFormat/>
    <w:uiPriority w:val="99"/>
    <w:rPr>
      <w:color w:val="0000FF"/>
      <w:u w:val="single"/>
    </w:rPr>
  </w:style>
  <w:style w:type="character" w:styleId="31">
    <w:name w:val="annotation reference"/>
    <w:basedOn w:val="26"/>
    <w:autoRedefine/>
    <w:semiHidden/>
    <w:unhideWhenUsed/>
    <w:qFormat/>
    <w:uiPriority w:val="99"/>
    <w:rPr>
      <w:sz w:val="21"/>
      <w:szCs w:val="21"/>
    </w:rPr>
  </w:style>
  <w:style w:type="character" w:customStyle="1" w:styleId="32">
    <w:name w:val="Header Char"/>
    <w:basedOn w:val="26"/>
    <w:link w:val="17"/>
    <w:autoRedefine/>
    <w:qFormat/>
    <w:uiPriority w:val="99"/>
    <w:rPr>
      <w:rFonts w:ascii="Tahoma" w:hAnsi="Tahoma"/>
      <w:sz w:val="18"/>
      <w:szCs w:val="18"/>
    </w:rPr>
  </w:style>
  <w:style w:type="character" w:customStyle="1" w:styleId="33">
    <w:name w:val="Footer Char"/>
    <w:basedOn w:val="26"/>
    <w:link w:val="16"/>
    <w:autoRedefine/>
    <w:qFormat/>
    <w:uiPriority w:val="99"/>
    <w:rPr>
      <w:rFonts w:ascii="Tahoma" w:hAnsi="Tahoma"/>
      <w:sz w:val="18"/>
      <w:szCs w:val="18"/>
    </w:rPr>
  </w:style>
  <w:style w:type="character" w:customStyle="1" w:styleId="34">
    <w:name w:val="Heading 1 Char"/>
    <w:basedOn w:val="26"/>
    <w:link w:val="2"/>
    <w:autoRedefine/>
    <w:qFormat/>
    <w:uiPriority w:val="9"/>
    <w:rPr>
      <w:rFonts w:ascii="楷体_GB2312" w:hAnsi="Times New Roman" w:eastAsia="楷体_GB2312" w:cs="Times New Roman"/>
      <w:kern w:val="2"/>
      <w:sz w:val="28"/>
      <w:szCs w:val="28"/>
    </w:rPr>
  </w:style>
  <w:style w:type="paragraph" w:customStyle="1" w:styleId="35">
    <w:name w:val="招标"/>
    <w:basedOn w:val="1"/>
    <w:autoRedefine/>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6">
    <w:name w:val="普通正文"/>
    <w:basedOn w:val="1"/>
    <w:autoRedefine/>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7">
    <w:name w:val="Heading 3 Char"/>
    <w:basedOn w:val="26"/>
    <w:link w:val="4"/>
    <w:autoRedefine/>
    <w:qFormat/>
    <w:uiPriority w:val="0"/>
    <w:rPr>
      <w:rFonts w:ascii="Times New Roman" w:hAnsi="Times New Roman" w:eastAsia="宋体" w:cs="Times New Roman"/>
      <w:b/>
      <w:bCs/>
      <w:kern w:val="2"/>
      <w:sz w:val="32"/>
      <w:szCs w:val="32"/>
    </w:rPr>
  </w:style>
  <w:style w:type="character" w:customStyle="1" w:styleId="38">
    <w:name w:val="Heading 4 Char"/>
    <w:basedOn w:val="26"/>
    <w:link w:val="6"/>
    <w:autoRedefine/>
    <w:qFormat/>
    <w:uiPriority w:val="9"/>
    <w:rPr>
      <w:rFonts w:ascii="Arial" w:hAnsi="Arial" w:eastAsia="黑体" w:cs="Arial"/>
      <w:b/>
      <w:bCs/>
      <w:kern w:val="2"/>
      <w:sz w:val="28"/>
      <w:szCs w:val="28"/>
    </w:rPr>
  </w:style>
  <w:style w:type="character" w:customStyle="1" w:styleId="39">
    <w:name w:val="标题 Char1"/>
    <w:basedOn w:val="26"/>
    <w:autoRedefine/>
    <w:qFormat/>
    <w:uiPriority w:val="0"/>
    <w:rPr>
      <w:rFonts w:ascii="Cambria" w:hAnsi="Cambria"/>
      <w:b/>
      <w:bCs/>
      <w:kern w:val="2"/>
      <w:sz w:val="32"/>
      <w:szCs w:val="32"/>
    </w:rPr>
  </w:style>
  <w:style w:type="character" w:customStyle="1" w:styleId="40">
    <w:name w:val="标题二 Char"/>
    <w:link w:val="41"/>
    <w:autoRedefine/>
    <w:qFormat/>
    <w:uiPriority w:val="0"/>
    <w:rPr>
      <w:rFonts w:ascii="宋体" w:hAnsi="宋体" w:cs="Calibri"/>
      <w:b/>
      <w:color w:val="000000"/>
      <w:kern w:val="1"/>
      <w:sz w:val="28"/>
      <w:szCs w:val="28"/>
    </w:rPr>
  </w:style>
  <w:style w:type="paragraph" w:customStyle="1" w:styleId="41">
    <w:name w:val="标题二"/>
    <w:basedOn w:val="42"/>
    <w:link w:val="40"/>
    <w:autoRedefine/>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42">
    <w:name w:val="List Paragraph"/>
    <w:basedOn w:val="1"/>
    <w:autoRedefine/>
    <w:qFormat/>
    <w:uiPriority w:val="34"/>
    <w:pPr>
      <w:ind w:firstLine="420" w:firstLineChars="200"/>
    </w:pPr>
  </w:style>
  <w:style w:type="character" w:customStyle="1" w:styleId="43">
    <w:name w:val="Normal Indent Char"/>
    <w:link w:val="5"/>
    <w:autoRedefine/>
    <w:qFormat/>
    <w:uiPriority w:val="0"/>
    <w:rPr>
      <w:kern w:val="2"/>
      <w:sz w:val="21"/>
      <w:szCs w:val="21"/>
    </w:rPr>
  </w:style>
  <w:style w:type="character" w:customStyle="1" w:styleId="44">
    <w:name w:val="Title Char"/>
    <w:basedOn w:val="26"/>
    <w:link w:val="21"/>
    <w:autoRedefine/>
    <w:qFormat/>
    <w:uiPriority w:val="10"/>
    <w:rPr>
      <w:rFonts w:eastAsia="宋体" w:asciiTheme="majorHAnsi" w:hAnsiTheme="majorHAnsi" w:cstheme="majorBidi"/>
      <w:b/>
      <w:bCs/>
      <w:sz w:val="32"/>
      <w:szCs w:val="32"/>
    </w:rPr>
  </w:style>
  <w:style w:type="character" w:customStyle="1" w:styleId="45">
    <w:name w:val="font1"/>
    <w:autoRedefine/>
    <w:qFormat/>
    <w:uiPriority w:val="0"/>
    <w:rPr>
      <w:color w:val="333333"/>
      <w:spacing w:val="450"/>
      <w:sz w:val="18"/>
      <w:szCs w:val="18"/>
      <w:u w:val="none"/>
    </w:rPr>
  </w:style>
  <w:style w:type="character" w:customStyle="1" w:styleId="46">
    <w:name w:val="纯文本 Char"/>
    <w:autoRedefine/>
    <w:qFormat/>
    <w:uiPriority w:val="0"/>
    <w:rPr>
      <w:rFonts w:ascii="宋体" w:hAnsi="Courier New" w:cs="Courier New"/>
      <w:kern w:val="2"/>
      <w:sz w:val="21"/>
      <w:szCs w:val="21"/>
    </w:rPr>
  </w:style>
  <w:style w:type="character" w:customStyle="1" w:styleId="47">
    <w:name w:val="Plain Text Char"/>
    <w:basedOn w:val="26"/>
    <w:link w:val="14"/>
    <w:autoRedefine/>
    <w:semiHidden/>
    <w:qFormat/>
    <w:uiPriority w:val="99"/>
    <w:rPr>
      <w:rFonts w:ascii="宋体" w:hAnsi="Courier New" w:eastAsia="宋体" w:cs="Courier New"/>
      <w:sz w:val="21"/>
      <w:szCs w:val="21"/>
    </w:rPr>
  </w:style>
  <w:style w:type="character" w:customStyle="1" w:styleId="48">
    <w:name w:val="Heading 2 Char"/>
    <w:basedOn w:val="26"/>
    <w:link w:val="3"/>
    <w:autoRedefine/>
    <w:semiHidden/>
    <w:qFormat/>
    <w:uiPriority w:val="9"/>
    <w:rPr>
      <w:rFonts w:asciiTheme="majorHAnsi" w:hAnsiTheme="majorHAnsi" w:eastAsiaTheme="majorEastAsia" w:cstheme="majorBidi"/>
      <w:b/>
      <w:bCs/>
      <w:sz w:val="32"/>
      <w:szCs w:val="32"/>
    </w:rPr>
  </w:style>
  <w:style w:type="character" w:customStyle="1" w:styleId="49">
    <w:name w:val="正文文本 Char"/>
    <w:autoRedefine/>
    <w:qFormat/>
    <w:uiPriority w:val="0"/>
    <w:rPr>
      <w:rFonts w:ascii="楷体_GB2312" w:hAnsi="Arial" w:eastAsia="楷体_GB2312"/>
      <w:kern w:val="2"/>
      <w:sz w:val="28"/>
      <w:szCs w:val="28"/>
    </w:rPr>
  </w:style>
  <w:style w:type="character" w:customStyle="1" w:styleId="50">
    <w:name w:val="列出段落 Char"/>
    <w:link w:val="51"/>
    <w:autoRedefine/>
    <w:qFormat/>
    <w:locked/>
    <w:uiPriority w:val="34"/>
    <w:rPr>
      <w:rFonts w:ascii="Calibri" w:hAnsi="Calibri"/>
      <w:sz w:val="24"/>
      <w:szCs w:val="24"/>
      <w:lang w:eastAsia="en-US" w:bidi="en-US"/>
    </w:rPr>
  </w:style>
  <w:style w:type="paragraph" w:customStyle="1" w:styleId="51">
    <w:name w:val="列出段落11"/>
    <w:basedOn w:val="1"/>
    <w:link w:val="50"/>
    <w:autoRedefine/>
    <w:qFormat/>
    <w:uiPriority w:val="34"/>
    <w:pPr>
      <w:adjustRightInd/>
      <w:snapToGrid/>
      <w:spacing w:after="0"/>
      <w:ind w:left="720"/>
      <w:contextualSpacing/>
    </w:pPr>
    <w:rPr>
      <w:rFonts w:ascii="Calibri" w:hAnsi="Calibri"/>
      <w:sz w:val="24"/>
      <w:szCs w:val="24"/>
      <w:lang w:eastAsia="en-US" w:bidi="en-US"/>
    </w:rPr>
  </w:style>
  <w:style w:type="paragraph" w:customStyle="1" w:styleId="52">
    <w:name w:val="Char1"/>
    <w:basedOn w:val="1"/>
    <w:autoRedefine/>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53">
    <w:name w:val="Body Text Char"/>
    <w:basedOn w:val="26"/>
    <w:link w:val="8"/>
    <w:autoRedefine/>
    <w:semiHidden/>
    <w:qFormat/>
    <w:uiPriority w:val="99"/>
    <w:rPr>
      <w:rFonts w:ascii="Tahoma" w:hAnsi="Tahoma"/>
    </w:rPr>
  </w:style>
  <w:style w:type="character" w:customStyle="1" w:styleId="54">
    <w:name w:val="Balloon Text Char"/>
    <w:basedOn w:val="26"/>
    <w:link w:val="15"/>
    <w:autoRedefine/>
    <w:semiHidden/>
    <w:qFormat/>
    <w:uiPriority w:val="99"/>
    <w:rPr>
      <w:rFonts w:ascii="Tahoma" w:hAnsi="Tahoma"/>
      <w:sz w:val="18"/>
      <w:szCs w:val="18"/>
    </w:rPr>
  </w:style>
  <w:style w:type="character" w:customStyle="1" w:styleId="55">
    <w:name w:val="NormalCharacter"/>
    <w:autoRedefine/>
    <w:qFormat/>
    <w:uiPriority w:val="0"/>
    <w:rPr>
      <w:rFonts w:ascii="Times New Roman" w:hAnsi="Times New Roman" w:eastAsia="宋体" w:cs="Times New Roman"/>
      <w:kern w:val="2"/>
      <w:sz w:val="21"/>
      <w:szCs w:val="22"/>
      <w:lang w:val="en-US" w:eastAsia="zh-CN" w:bidi="ar-SA"/>
    </w:rPr>
  </w:style>
  <w:style w:type="paragraph" w:customStyle="1" w:styleId="5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Comment Text Char"/>
    <w:basedOn w:val="26"/>
    <w:link w:val="7"/>
    <w:autoRedefine/>
    <w:qFormat/>
    <w:uiPriority w:val="0"/>
    <w:rPr>
      <w:rFonts w:ascii="Tahoma" w:hAnsi="Tahoma" w:eastAsia="微软雅黑" w:cstheme="minorBidi"/>
      <w:sz w:val="22"/>
      <w:szCs w:val="22"/>
    </w:rPr>
  </w:style>
  <w:style w:type="character" w:customStyle="1" w:styleId="58">
    <w:name w:val="Comment Subject Char"/>
    <w:basedOn w:val="57"/>
    <w:link w:val="22"/>
    <w:semiHidden/>
    <w:qFormat/>
    <w:uiPriority w:val="99"/>
    <w:rPr>
      <w:rFonts w:ascii="Tahoma" w:hAnsi="Tahoma" w:eastAsia="微软雅黑" w:cstheme="minorBidi"/>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Merck KGaA Darmstadt Germany</Company>
  <Pages>47</Pages>
  <Words>13085</Words>
  <Characters>13772</Characters>
  <Lines>168</Lines>
  <Paragraphs>47</Paragraphs>
  <TotalTime>3</TotalTime>
  <ScaleCrop>false</ScaleCrop>
  <LinksUpToDate>false</LinksUpToDate>
  <CharactersWithSpaces>14287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资产处</cp:lastModifiedBy>
  <dcterms:modified xsi:type="dcterms:W3CDTF">2026-07-08T07:00:47Z</dcterms:modified>
  <cp:revision>430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087267DE37384BCBB7B42579585070C4_13</vt:lpwstr>
  </property>
  <property fmtid="{D5CDD505-2E9C-101B-9397-08002B2CF9AE}" pid="4" name="KSOTemplateDocerSaveRecord">
    <vt:lpwstr>eyJoZGlkIjoiNmZiNTk4NTJhYmQ4Yzg3MzliNzY4NTAzMmQyNzAzZWQiLCJ1c2VySWQiOiIzMTg2OTUwOTYifQ==</vt:lpwstr>
  </property>
</Properties>
</file>