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firstLine="0"/>
        <w:jc w:val="center"/>
        <w:rPr>
          <w:rFonts w:eastAsia="黑体"/>
          <w:b/>
          <w:bCs/>
          <w:sz w:val="84"/>
        </w:rPr>
      </w:pPr>
    </w:p>
    <w:p>
      <w:pPr>
        <w:pStyle w:val="40"/>
        <w:ind w:firstLine="0"/>
        <w:jc w:val="center"/>
        <w:rPr>
          <w:rFonts w:eastAsia="黑体"/>
          <w:b/>
          <w:bCs/>
          <w:sz w:val="84"/>
        </w:rPr>
      </w:pPr>
    </w:p>
    <w:p>
      <w:pPr>
        <w:pStyle w:val="40"/>
        <w:ind w:firstLine="0"/>
        <w:jc w:val="center"/>
        <w:rPr>
          <w:rFonts w:eastAsia="黑体"/>
          <w:b/>
          <w:bCs/>
          <w:sz w:val="84"/>
        </w:rPr>
      </w:pPr>
      <w:r>
        <w:rPr>
          <w:rFonts w:hint="eastAsia" w:eastAsia="黑体"/>
          <w:b/>
          <w:bCs/>
          <w:sz w:val="84"/>
        </w:rPr>
        <w:t>招　标　文　件</w:t>
      </w:r>
    </w:p>
    <w:p>
      <w:pPr>
        <w:pStyle w:val="40"/>
        <w:ind w:firstLine="2409" w:firstLineChars="750"/>
        <w:rPr>
          <w:b/>
          <w:bCs/>
          <w:sz w:val="32"/>
        </w:rPr>
      </w:pPr>
    </w:p>
    <w:p>
      <w:r>
        <w:rPr>
          <w:rFonts w:hint="eastAsia" w:ascii="Arial" w:hAnsi="Arial" w:eastAsia="宋体" w:cs="Times New Roman"/>
          <w:b/>
          <w:bCs/>
          <w:sz w:val="32"/>
          <w:szCs w:val="24"/>
        </w:rPr>
        <w:t>项目名称：南京医科大学</w:t>
      </w:r>
      <w:r>
        <w:rPr>
          <w:rFonts w:hint="eastAsia" w:ascii="宋体" w:hAnsi="宋体" w:eastAsia="宋体" w:cs="宋体"/>
          <w:b/>
          <w:bCs/>
          <w:color w:val="000000"/>
          <w:sz w:val="32"/>
          <w:szCs w:val="32"/>
        </w:rPr>
        <w:t>实验室安全储存设施采购项目</w:t>
      </w:r>
    </w:p>
    <w:p>
      <w:pPr>
        <w:pStyle w:val="40"/>
        <w:ind w:firstLine="0"/>
        <w:jc w:val="both"/>
        <w:rPr>
          <w:b/>
          <w:bCs/>
          <w:sz w:val="32"/>
        </w:rPr>
      </w:pPr>
      <w:r>
        <w:rPr>
          <w:rFonts w:hint="eastAsia"/>
          <w:b/>
          <w:bCs/>
          <w:sz w:val="32"/>
        </w:rPr>
        <w:t>项目编号：NJMUZB3012023133</w:t>
      </w: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spacing w:before="0" w:after="0"/>
        <w:ind w:firstLine="0"/>
        <w:rPr>
          <w:rFonts w:ascii="宋体" w:hAnsi="宋体"/>
        </w:rPr>
      </w:pPr>
    </w:p>
    <w:p>
      <w:pPr>
        <w:pStyle w:val="40"/>
        <w:ind w:firstLine="0"/>
        <w:jc w:val="center"/>
        <w:rPr>
          <w:b/>
          <w:bCs/>
          <w:sz w:val="32"/>
        </w:rPr>
      </w:pPr>
    </w:p>
    <w:p>
      <w:pPr>
        <w:pStyle w:val="40"/>
        <w:ind w:firstLine="0"/>
        <w:jc w:val="center"/>
        <w:rPr>
          <w:b/>
          <w:bCs/>
          <w:sz w:val="32"/>
        </w:rPr>
      </w:pPr>
      <w:r>
        <w:rPr>
          <w:rFonts w:hint="eastAsia"/>
          <w:b/>
          <w:bCs/>
          <w:sz w:val="32"/>
        </w:rPr>
        <w:t>南京医科大学</w:t>
      </w:r>
      <w:r>
        <w:br w:type="page"/>
      </w:r>
      <w:bookmarkStart w:id="0" w:name="_Toc517190880"/>
      <w:bookmarkStart w:id="1" w:name="_Toc120614210"/>
      <w:bookmarkStart w:id="2" w:name="_Toc523127445"/>
      <w:bookmarkStart w:id="3" w:name="_Toc20823272"/>
      <w:bookmarkStart w:id="4" w:name="_Toc513029200"/>
      <w:bookmarkStart w:id="5" w:name="_Toc479757206"/>
      <w:bookmarkStart w:id="6" w:name="_Toc16938516"/>
      <w:r>
        <w:rPr>
          <w:rFonts w:hint="eastAsia" w:ascii="黑体" w:hAnsi="黑体" w:eastAsia="黑体"/>
          <w:b/>
          <w:sz w:val="44"/>
          <w:szCs w:val="28"/>
        </w:rPr>
        <w:t>目  录</w:t>
      </w:r>
      <w:bookmarkEnd w:id="0"/>
    </w:p>
    <w:p>
      <w:pPr>
        <w:pStyle w:val="17"/>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4"/>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4"/>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4"/>
          <w:rFonts w:hint="eastAsia" w:asciiTheme="majorEastAsia" w:hAnsiTheme="majorEastAsia" w:eastAsiaTheme="majorEastAsia"/>
          <w:sz w:val="24"/>
        </w:rPr>
        <w:t>第二章</w:t>
      </w:r>
      <w:r>
        <w:rPr>
          <w:rStyle w:val="24"/>
          <w:rFonts w:asciiTheme="majorEastAsia" w:hAnsiTheme="majorEastAsia" w:eastAsiaTheme="majorEastAsia"/>
          <w:sz w:val="24"/>
        </w:rPr>
        <w:t xml:space="preserve"> </w:t>
      </w:r>
      <w:r>
        <w:rPr>
          <w:rStyle w:val="24"/>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4"/>
          <w:rFonts w:hint="eastAsia" w:asciiTheme="minorEastAsia" w:hAnsiTheme="minorEastAsia"/>
          <w:sz w:val="24"/>
        </w:rPr>
        <w:t>第三章</w:t>
      </w:r>
      <w:r>
        <w:rPr>
          <w:rStyle w:val="24"/>
          <w:rFonts w:asciiTheme="minorEastAsia" w:hAnsiTheme="minorEastAsia"/>
          <w:sz w:val="24"/>
        </w:rPr>
        <w:t xml:space="preserve"> </w:t>
      </w:r>
      <w:r>
        <w:rPr>
          <w:rStyle w:val="24"/>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4"/>
          <w:rFonts w:hint="eastAsia" w:ascii="宋体" w:hAnsi="宋体"/>
          <w:sz w:val="24"/>
        </w:rPr>
        <w:t>第四章</w:t>
      </w:r>
      <w:r>
        <w:rPr>
          <w:rStyle w:val="24"/>
          <w:rFonts w:ascii="宋体" w:hAnsi="宋体"/>
          <w:sz w:val="24"/>
        </w:rPr>
        <w:t xml:space="preserve"> </w:t>
      </w:r>
      <w:r>
        <w:rPr>
          <w:rStyle w:val="24"/>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7"/>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4"/>
          <w:rFonts w:hint="eastAsia" w:ascii="宋体" w:hAnsi="宋体"/>
          <w:sz w:val="24"/>
        </w:rPr>
        <w:t>第五章</w:t>
      </w:r>
      <w:r>
        <w:rPr>
          <w:rStyle w:val="24"/>
          <w:rFonts w:ascii="宋体" w:hAnsi="宋体"/>
          <w:sz w:val="24"/>
        </w:rPr>
        <w:t xml:space="preserve"> </w:t>
      </w:r>
      <w:r>
        <w:rPr>
          <w:rStyle w:val="24"/>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Lines="50" w:afterLines="50" w:line="360" w:lineRule="auto"/>
        <w:ind w:firstLine="480" w:firstLineChars="200"/>
        <w:rPr>
          <w:rFonts w:asciiTheme="minorEastAsia" w:hAnsiTheme="minorEastAsia" w:eastAsiaTheme="minorEastAsia"/>
          <w:sz w:val="24"/>
          <w:szCs w:val="24"/>
        </w:rPr>
      </w:pPr>
      <w:bookmarkStart w:id="8" w:name="_Toc444669970"/>
      <w:bookmarkStart w:id="9" w:name="OLE_LINK1"/>
      <w:bookmarkStart w:id="10" w:name="_Toc479757207"/>
      <w:bookmarkStart w:id="11" w:name="OLE_LINK2"/>
      <w:bookmarkStart w:id="12" w:name="_Toc20823314"/>
      <w:bookmarkStart w:id="13" w:name="_Toc120614221"/>
      <w:bookmarkStart w:id="14" w:name="_Toc16938558"/>
      <w:bookmarkStart w:id="15" w:name="_Toc120614211"/>
      <w:bookmarkStart w:id="16" w:name="_Toc513029242"/>
      <w:r>
        <w:rPr>
          <w:rFonts w:hint="eastAsia" w:asciiTheme="minorEastAsia" w:hAnsiTheme="minorEastAsia" w:eastAsiaTheme="minorEastAsia"/>
          <w:sz w:val="24"/>
          <w:szCs w:val="24"/>
        </w:rPr>
        <w:t>南京医科大学就</w:t>
      </w:r>
      <w:r>
        <w:rPr>
          <w:rFonts w:hint="eastAsia" w:ascii="宋体" w:hAnsi="宋体" w:eastAsia="宋体" w:cs="宋体"/>
          <w:color w:val="000000"/>
          <w:sz w:val="24"/>
          <w:szCs w:val="24"/>
          <w:u w:val="single"/>
        </w:rPr>
        <w:t>实验室安全储存设施</w:t>
      </w:r>
      <w:r>
        <w:rPr>
          <w:rFonts w:hint="eastAsia" w:asciiTheme="minorEastAsia" w:hAnsiTheme="minorEastAsia" w:eastAsiaTheme="minorEastAsia"/>
          <w:sz w:val="24"/>
          <w:szCs w:val="24"/>
          <w:u w:val="single"/>
        </w:rPr>
        <w:t>采购项目</w:t>
      </w:r>
      <w:r>
        <w:rPr>
          <w:rFonts w:hint="eastAsia" w:asciiTheme="minorEastAsia" w:hAnsiTheme="minorEastAsia" w:eastAsiaTheme="minorEastAsia"/>
          <w:sz w:val="24"/>
          <w:szCs w:val="24"/>
        </w:rPr>
        <w:t>公开招标，相应资金已落实，欢迎符合招标公告资质要求的供应商前来投标。</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Lines="50" w:afterLines="5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（一）采购项目名称：南京医科大学实验室安全储存设施采购项目</w:t>
      </w:r>
    </w:p>
    <w:p>
      <w:pPr>
        <w:spacing w:beforeLines="50" w:afterLines="5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（二）采购项目编号：NJMUZB3012023133</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 人民币19万元                                              </w:t>
      </w:r>
    </w:p>
    <w:tbl>
      <w:tblPr>
        <w:tblStyle w:val="20"/>
        <w:tblpPr w:leftFromText="180" w:rightFromText="180" w:vertAnchor="text" w:horzAnchor="page" w:tblpX="2117" w:tblpY="735"/>
        <w:tblOverlap w:val="never"/>
        <w:tblW w:w="9140" w:type="dxa"/>
        <w:tblInd w:w="0" w:type="dxa"/>
        <w:tblLayout w:type="fixed"/>
        <w:tblCellMar>
          <w:top w:w="0" w:type="dxa"/>
          <w:left w:w="108" w:type="dxa"/>
          <w:bottom w:w="0" w:type="dxa"/>
          <w:right w:w="108" w:type="dxa"/>
        </w:tblCellMar>
      </w:tblPr>
      <w:tblGrid>
        <w:gridCol w:w="1840"/>
        <w:gridCol w:w="1910"/>
        <w:gridCol w:w="1320"/>
        <w:gridCol w:w="1590"/>
        <w:gridCol w:w="2480"/>
      </w:tblGrid>
      <w:tr>
        <w:tblPrEx>
          <w:tblCellMar>
            <w:top w:w="0" w:type="dxa"/>
            <w:left w:w="108" w:type="dxa"/>
            <w:bottom w:w="0" w:type="dxa"/>
            <w:right w:w="108" w:type="dxa"/>
          </w:tblCellMar>
        </w:tblPrEx>
        <w:trPr>
          <w:trHeight w:val="580" w:hRule="atLeast"/>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b/>
                <w:bCs/>
                <w:color w:val="000000"/>
              </w:rPr>
            </w:pPr>
            <w:r>
              <w:rPr>
                <w:rFonts w:hint="eastAsia" w:ascii="等线" w:hAnsi="等线" w:eastAsia="等线" w:cs="等线"/>
                <w:b/>
                <w:bCs/>
                <w:color w:val="000000"/>
              </w:rPr>
              <w:t>采购条目编号</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b/>
                <w:bCs/>
                <w:color w:val="000000"/>
              </w:rPr>
            </w:pPr>
            <w:r>
              <w:rPr>
                <w:rFonts w:hint="eastAsia" w:ascii="等线" w:hAnsi="等线" w:eastAsia="等线" w:cs="等线"/>
                <w:b/>
                <w:bCs/>
                <w:color w:val="000000"/>
              </w:rPr>
              <w:t>采购条目名称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b/>
                <w:bCs/>
                <w:color w:val="000000"/>
              </w:rPr>
            </w:pPr>
            <w:r>
              <w:rPr>
                <w:rFonts w:hint="eastAsia" w:ascii="等线" w:hAnsi="等线" w:eastAsia="等线" w:cs="等线"/>
                <w:b/>
                <w:bCs/>
                <w:color w:val="000000"/>
              </w:rPr>
              <w:t>数量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b/>
                <w:bCs/>
                <w:color w:val="000000"/>
              </w:rPr>
            </w:pPr>
            <w:r>
              <w:rPr>
                <w:rFonts w:hint="eastAsia" w:ascii="等线" w:hAnsi="等线" w:eastAsia="等线" w:cs="等线"/>
                <w:b/>
                <w:bCs/>
                <w:color w:val="000000"/>
              </w:rPr>
              <w:t>单位</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等线" w:hAnsi="等线" w:eastAsia="等线" w:cs="等线"/>
                <w:b/>
                <w:bCs/>
                <w:color w:val="000000"/>
              </w:rPr>
            </w:pPr>
            <w:r>
              <w:rPr>
                <w:rFonts w:hint="eastAsia" w:ascii="等线" w:hAnsi="等线" w:eastAsia="等线" w:cs="等线"/>
                <w:b/>
                <w:bCs/>
                <w:color w:val="000000"/>
              </w:rPr>
              <w:t>采购预算金额</w:t>
            </w:r>
          </w:p>
          <w:p>
            <w:pPr>
              <w:jc w:val="center"/>
              <w:textAlignment w:val="center"/>
              <w:rPr>
                <w:rFonts w:ascii="等线" w:hAnsi="等线" w:eastAsia="等线" w:cs="等线"/>
                <w:b/>
                <w:bCs/>
                <w:color w:val="000000"/>
              </w:rPr>
            </w:pPr>
            <w:r>
              <w:rPr>
                <w:rFonts w:hint="eastAsia" w:ascii="等线" w:hAnsi="等线" w:eastAsia="等线" w:cs="等线"/>
                <w:b/>
                <w:bCs/>
                <w:color w:val="000000"/>
              </w:rPr>
              <w:t>（万元）</w:t>
            </w:r>
          </w:p>
        </w:tc>
      </w:tr>
      <w:tr>
        <w:tblPrEx>
          <w:tblCellMar>
            <w:top w:w="0" w:type="dxa"/>
            <w:left w:w="108" w:type="dxa"/>
            <w:bottom w:w="0" w:type="dxa"/>
            <w:right w:w="108" w:type="dxa"/>
          </w:tblCellMar>
        </w:tblPrEx>
        <w:trPr>
          <w:trHeight w:val="573" w:hRule="atLeast"/>
        </w:trPr>
        <w:tc>
          <w:tcPr>
            <w:tcW w:w="1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r>
              <w:rPr>
                <w:rFonts w:hint="eastAsia" w:asciiTheme="minorEastAsia" w:hAnsiTheme="minorEastAsia" w:eastAsiaTheme="minorEastAsia"/>
                <w:sz w:val="24"/>
                <w:szCs w:val="24"/>
              </w:rPr>
              <w:t>NJMUZB3012023133</w:t>
            </w:r>
          </w:p>
        </w:tc>
        <w:tc>
          <w:tcPr>
            <w:tcW w:w="1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r>
              <w:rPr>
                <w:rFonts w:hint="eastAsia" w:ascii="等线" w:hAnsi="等线" w:eastAsia="等线" w:cs="等线"/>
                <w:color w:val="000000"/>
              </w:rPr>
              <w:t>实验室安全储存设施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r>
              <w:rPr>
                <w:rFonts w:hint="eastAsia" w:ascii="等线" w:hAnsi="等线" w:eastAsia="等线" w:cs="等线"/>
                <w:color w:val="000000"/>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r>
              <w:rPr>
                <w:rFonts w:hint="eastAsia" w:ascii="等线" w:hAnsi="等线" w:eastAsia="等线" w:cs="等线"/>
                <w:color w:val="000000"/>
              </w:rPr>
              <w:t>台</w:t>
            </w:r>
          </w:p>
        </w:tc>
        <w:tc>
          <w:tcPr>
            <w:tcW w:w="2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r>
              <w:rPr>
                <w:rFonts w:hint="eastAsia" w:ascii="等线" w:hAnsi="等线" w:eastAsia="等线" w:cs="等线"/>
                <w:color w:val="000000"/>
              </w:rPr>
              <w:t>19</w:t>
            </w:r>
          </w:p>
        </w:tc>
      </w:tr>
    </w:tbl>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w:t>
      </w:r>
    </w:p>
    <w:p>
      <w:pPr>
        <w:pStyle w:val="19"/>
      </w:pP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w:t>
      </w:r>
      <w:r>
        <w:rPr>
          <w:rFonts w:hint="eastAsia" w:ascii="宋体" w:hAnsi="宋体" w:eastAsia="宋体" w:cs="宋体"/>
          <w:sz w:val="24"/>
          <w:szCs w:val="24"/>
        </w:rPr>
        <w:t>2</w:t>
      </w:r>
      <w:r>
        <w:rPr>
          <w:rFonts w:ascii="宋体" w:hAnsi="宋体" w:eastAsia="宋体" w:cs="宋体"/>
          <w:sz w:val="24"/>
          <w:szCs w:val="24"/>
        </w:rPr>
        <w:t>年度审计报告或者</w:t>
      </w:r>
      <w:r>
        <w:rPr>
          <w:rFonts w:hint="eastAsia" w:ascii="宋体" w:hAnsi="宋体" w:eastAsia="宋体" w:cs="宋体"/>
          <w:sz w:val="24"/>
          <w:szCs w:val="24"/>
        </w:rPr>
        <w:t>2023年度任一季度的财务状况报告；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3.依法缴纳税收和社会保障资金的相关材料，提供2</w:t>
      </w:r>
      <w:r>
        <w:rPr>
          <w:rFonts w:ascii="宋体" w:hAnsi="宋体" w:eastAsia="宋体" w:cs="宋体"/>
          <w:sz w:val="24"/>
          <w:szCs w:val="24"/>
        </w:rPr>
        <w:t>02</w:t>
      </w:r>
      <w:r>
        <w:rPr>
          <w:rFonts w:hint="eastAsia" w:ascii="宋体" w:hAnsi="宋体" w:eastAsia="宋体" w:cs="宋体"/>
          <w:sz w:val="24"/>
          <w:szCs w:val="24"/>
        </w:rPr>
        <w:t>3</w:t>
      </w:r>
      <w:r>
        <w:rPr>
          <w:rFonts w:ascii="宋体" w:hAnsi="宋体" w:eastAsia="宋体" w:cs="宋体"/>
          <w:sz w:val="24"/>
          <w:szCs w:val="24"/>
        </w:rPr>
        <w:t>年度近</w:t>
      </w:r>
      <w:r>
        <w:rPr>
          <w:rFonts w:hint="eastAsia" w:ascii="宋体" w:hAnsi="宋体" w:eastAsia="宋体" w:cs="宋体"/>
          <w:sz w:val="24"/>
          <w:szCs w:val="24"/>
        </w:rPr>
        <w:t>6个月中任意一个月缴纳社保和和税收的凭证；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w:t>
      </w:r>
      <w:r>
        <w:rPr>
          <w:rFonts w:hint="eastAsia" w:ascii="宋体" w:hAnsi="宋体" w:eastAsia="宋体" w:cs="宋体"/>
          <w:sz w:val="24"/>
          <w:szCs w:val="24"/>
          <w:lang w:val="en-US" w:eastAsia="zh-CN"/>
        </w:rPr>
        <w:t>1</w:t>
      </w:r>
      <w:r>
        <w:rPr>
          <w:rFonts w:hint="eastAsia" w:ascii="宋体" w:hAnsi="宋体" w:eastAsia="宋体" w:cs="宋体"/>
          <w:sz w:val="24"/>
          <w:szCs w:val="24"/>
        </w:rPr>
        <w:t>月1</w:t>
      </w:r>
      <w:r>
        <w:rPr>
          <w:rFonts w:hint="eastAsia" w:ascii="宋体" w:hAnsi="宋体" w:eastAsia="宋体" w:cs="宋体"/>
          <w:sz w:val="24"/>
          <w:szCs w:val="24"/>
          <w:lang w:val="en-US" w:eastAsia="zh-CN"/>
        </w:rPr>
        <w:t>0</w:t>
      </w:r>
      <w:r>
        <w:rPr>
          <w:rFonts w:hint="eastAsia" w:ascii="宋体" w:hAnsi="宋体" w:eastAsia="宋体" w:cs="宋体"/>
          <w:sz w:val="24"/>
          <w:szCs w:val="24"/>
        </w:rPr>
        <w:t>日9时15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Lines="50" w:afterLines="50" w:line="360" w:lineRule="auto"/>
        <w:ind w:firstLine="480" w:firstLineChars="200"/>
        <w:rPr>
          <w:rFonts w:ascii="宋体" w:hAnsi="宋体" w:eastAsia="宋体" w:cs="宋体"/>
          <w:sz w:val="24"/>
          <w:szCs w:val="24"/>
        </w:rPr>
      </w:pPr>
      <w:r>
        <w:rPr>
          <w:rFonts w:hint="eastAsia" w:asciiTheme="minorEastAsia" w:hAnsiTheme="minorEastAsia" w:eastAsiaTheme="minorEastAsia"/>
          <w:sz w:val="24"/>
          <w:szCs w:val="24"/>
        </w:rPr>
        <w:t>招标联系人： 仲老师       联系电话：</w:t>
      </w:r>
      <w:r>
        <w:rPr>
          <w:rFonts w:hint="eastAsia" w:ascii="宋体" w:hAnsi="宋体" w:eastAsia="宋体" w:cs="宋体"/>
          <w:sz w:val="24"/>
          <w:szCs w:val="24"/>
        </w:rPr>
        <w:t xml:space="preserve"> 025-86869283</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6" cstate="print"/>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点击“入校申请”。（系统内访问部门：资产和产业管理处，人员：仲为国 ，联系方式：13584050783）。</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7" cstate="print"/>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Lines="50" w:afterLines="5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八、公告发布期限：</w:t>
      </w:r>
      <w:r>
        <w:rPr>
          <w:rFonts w:hint="eastAsia" w:asciiTheme="minorEastAsia" w:hAnsiTheme="minorEastAsia" w:eastAsiaTheme="minorEastAsia"/>
          <w:sz w:val="24"/>
          <w:szCs w:val="24"/>
        </w:rPr>
        <w:t>为采购公告发布之日起五个工作日。</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九、其他</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513029202"/>
      <w:bookmarkStart w:id="20" w:name="_Toc16938518"/>
      <w:bookmarkStart w:id="21" w:name="_Toc20823274"/>
      <w:r>
        <w:rPr>
          <w:rFonts w:hint="eastAsia" w:asciiTheme="majorEastAsia" w:hAnsiTheme="majorEastAsia" w:eastAsiaTheme="majorEastAsia"/>
          <w:b/>
          <w:sz w:val="44"/>
        </w:rPr>
        <w:t>投标人须知</w:t>
      </w:r>
      <w:bookmarkEnd w:id="17"/>
      <w:bookmarkEnd w:id="18"/>
      <w:bookmarkEnd w:id="19"/>
      <w:bookmarkEnd w:id="20"/>
      <w:bookmarkEnd w:id="21"/>
    </w:p>
    <w:p>
      <w:pPr>
        <w:pStyle w:val="40"/>
        <w:rPr>
          <w:rFonts w:ascii="宋体" w:hAnsi="宋体" w:cs="宋体"/>
          <w:b/>
        </w:rPr>
      </w:pPr>
      <w:bookmarkStart w:id="22" w:name="_Toc120614214"/>
      <w:bookmarkStart w:id="23" w:name="_Toc20823275"/>
      <w:bookmarkStart w:id="24" w:name="_Toc16938519"/>
      <w:bookmarkStart w:id="25" w:name="_Toc513029203"/>
      <w:r>
        <w:rPr>
          <w:rFonts w:hint="eastAsia" w:ascii="宋体" w:hAnsi="宋体" w:cs="宋体"/>
          <w:b/>
        </w:rPr>
        <w:t>一、总则</w:t>
      </w:r>
      <w:bookmarkEnd w:id="22"/>
      <w:bookmarkEnd w:id="23"/>
      <w:bookmarkEnd w:id="24"/>
      <w:bookmarkEnd w:id="25"/>
    </w:p>
    <w:p>
      <w:pPr>
        <w:pStyle w:val="40"/>
        <w:rPr>
          <w:rFonts w:ascii="宋体" w:hAnsi="宋体" w:cs="宋体"/>
          <w:b/>
          <w:bCs/>
        </w:rPr>
      </w:pPr>
      <w:bookmarkStart w:id="26" w:name="_Hlt16619475"/>
      <w:bookmarkEnd w:id="26"/>
      <w:bookmarkStart w:id="27" w:name="_Toc458694821"/>
      <w:bookmarkStart w:id="28" w:name="_Toc513029204"/>
      <w:bookmarkStart w:id="29" w:name="_Toc16938520"/>
      <w:bookmarkStart w:id="30" w:name="_Toc20823276"/>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40"/>
        <w:rPr>
          <w:rFonts w:ascii="宋体" w:hAnsi="宋体" w:cs="宋体"/>
        </w:rPr>
      </w:pPr>
      <w:r>
        <w:rPr>
          <w:rFonts w:hint="eastAsia" w:ascii="宋体" w:hAnsi="宋体" w:cs="宋体"/>
        </w:rPr>
        <w:t>1.1 本次招标采取公开招标方式，本招标文件仅适用于招标公告中所述项目。</w:t>
      </w:r>
    </w:p>
    <w:p>
      <w:pPr>
        <w:pStyle w:val="40"/>
        <w:rPr>
          <w:rFonts w:ascii="宋体" w:hAnsi="宋体" w:cs="宋体"/>
          <w:b/>
          <w:bCs/>
        </w:rPr>
      </w:pPr>
      <w:bookmarkStart w:id="31" w:name="_Toc513029205"/>
      <w:bookmarkStart w:id="32" w:name="_Toc16938521"/>
      <w:bookmarkStart w:id="33" w:name="_Toc20823277"/>
      <w:r>
        <w:rPr>
          <w:rFonts w:hint="eastAsia" w:ascii="宋体" w:hAnsi="宋体" w:cs="宋体"/>
          <w:b/>
          <w:bCs/>
        </w:rPr>
        <w:t>2.合格的投标人</w:t>
      </w:r>
      <w:bookmarkEnd w:id="31"/>
      <w:bookmarkEnd w:id="32"/>
      <w:bookmarkEnd w:id="33"/>
    </w:p>
    <w:p>
      <w:pPr>
        <w:pStyle w:val="40"/>
        <w:rPr>
          <w:rFonts w:ascii="宋体" w:hAnsi="宋体" w:cs="宋体"/>
        </w:rPr>
      </w:pPr>
      <w:r>
        <w:rPr>
          <w:rFonts w:hint="eastAsia" w:ascii="宋体" w:hAnsi="宋体" w:cs="宋体"/>
        </w:rPr>
        <w:t>2.1满足招标公告中供应商资格要求的规定。</w:t>
      </w:r>
    </w:p>
    <w:p>
      <w:pPr>
        <w:pStyle w:val="40"/>
        <w:rPr>
          <w:rFonts w:ascii="宋体" w:hAnsi="宋体" w:cs="宋体"/>
        </w:rPr>
      </w:pPr>
      <w:r>
        <w:rPr>
          <w:rFonts w:hint="eastAsia" w:ascii="宋体" w:hAnsi="宋体" w:cs="宋体"/>
        </w:rPr>
        <w:t>2.2 满足本文件实质性条款的规定。</w:t>
      </w:r>
    </w:p>
    <w:p>
      <w:pPr>
        <w:pStyle w:val="40"/>
        <w:rPr>
          <w:rFonts w:ascii="宋体" w:hAnsi="宋体" w:cs="宋体"/>
          <w:b/>
          <w:bCs/>
        </w:rPr>
      </w:pPr>
      <w:bookmarkStart w:id="34" w:name="_Toc20823278"/>
      <w:bookmarkStart w:id="35" w:name="_Toc513029206"/>
      <w:bookmarkStart w:id="36" w:name="_Toc16938522"/>
      <w:r>
        <w:rPr>
          <w:rFonts w:hint="eastAsia" w:ascii="宋体" w:hAnsi="宋体" w:cs="宋体"/>
          <w:b/>
          <w:bCs/>
        </w:rPr>
        <w:t>3.适用法律</w:t>
      </w:r>
      <w:bookmarkEnd w:id="34"/>
      <w:bookmarkEnd w:id="35"/>
      <w:bookmarkEnd w:id="36"/>
    </w:p>
    <w:p>
      <w:pPr>
        <w:pStyle w:val="40"/>
        <w:rPr>
          <w:rFonts w:ascii="宋体" w:hAnsi="宋体" w:cs="宋体"/>
        </w:rPr>
      </w:pPr>
      <w:r>
        <w:rPr>
          <w:rFonts w:hint="eastAsia" w:ascii="宋体" w:hAnsi="宋体" w:cs="宋体"/>
        </w:rPr>
        <w:t>本次招标及由此产生的合同受中华人民共和国有关的法律法规制约和保护。</w:t>
      </w:r>
    </w:p>
    <w:p>
      <w:pPr>
        <w:pStyle w:val="40"/>
        <w:rPr>
          <w:rFonts w:ascii="宋体" w:hAnsi="宋体" w:cs="宋体"/>
          <w:b/>
          <w:bCs/>
        </w:rPr>
      </w:pPr>
      <w:bookmarkStart w:id="37" w:name="_Toc513029207"/>
      <w:bookmarkStart w:id="38" w:name="_Toc16938523"/>
      <w:bookmarkStart w:id="39" w:name="_Toc20823279"/>
      <w:bookmarkStart w:id="40" w:name="_Toc462564067"/>
      <w:r>
        <w:rPr>
          <w:rFonts w:hint="eastAsia" w:ascii="宋体" w:hAnsi="宋体" w:cs="宋体"/>
          <w:b/>
          <w:bCs/>
        </w:rPr>
        <w:t>4.投标费用</w:t>
      </w:r>
      <w:bookmarkEnd w:id="37"/>
      <w:bookmarkEnd w:id="38"/>
      <w:bookmarkEnd w:id="39"/>
      <w:bookmarkEnd w:id="40"/>
    </w:p>
    <w:p>
      <w:pPr>
        <w:pStyle w:val="40"/>
        <w:rPr>
          <w:rFonts w:ascii="宋体" w:hAnsi="宋体" w:cs="宋体"/>
        </w:rPr>
      </w:pPr>
      <w:r>
        <w:rPr>
          <w:rFonts w:hint="eastAsia" w:ascii="宋体" w:hAnsi="宋体" w:cs="宋体"/>
        </w:rPr>
        <w:t>投标人应自行承担所有与参加投标有关的费用。</w:t>
      </w:r>
    </w:p>
    <w:p>
      <w:pPr>
        <w:pStyle w:val="40"/>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40"/>
        <w:rPr>
          <w:rFonts w:ascii="宋体" w:hAnsi="宋体" w:cs="宋体"/>
        </w:rPr>
      </w:pPr>
      <w:r>
        <w:rPr>
          <w:rFonts w:hint="eastAsia" w:ascii="宋体" w:hAnsi="宋体" w:cs="宋体"/>
        </w:rPr>
        <w:t>投标人一旦参加本项目采购活动，即被认为接受了本招标文件的规定和约束。</w:t>
      </w:r>
    </w:p>
    <w:p>
      <w:pPr>
        <w:pStyle w:val="40"/>
        <w:rPr>
          <w:rFonts w:ascii="宋体" w:hAnsi="宋体" w:cs="宋体"/>
          <w:b/>
        </w:rPr>
      </w:pPr>
      <w:bookmarkStart w:id="41" w:name="_Toc20823281"/>
      <w:bookmarkStart w:id="42" w:name="_Toc16938525"/>
      <w:bookmarkStart w:id="43" w:name="_Toc513029209"/>
      <w:bookmarkStart w:id="44" w:name="_Toc120614215"/>
      <w:bookmarkStart w:id="45" w:name="_Toc517190883"/>
      <w:r>
        <w:rPr>
          <w:rFonts w:hint="eastAsia" w:ascii="宋体" w:hAnsi="宋体" w:cs="宋体"/>
          <w:b/>
        </w:rPr>
        <w:t>二、招标文件</w:t>
      </w:r>
      <w:bookmarkEnd w:id="41"/>
      <w:bookmarkEnd w:id="42"/>
      <w:bookmarkEnd w:id="43"/>
      <w:bookmarkEnd w:id="44"/>
      <w:bookmarkEnd w:id="45"/>
    </w:p>
    <w:p>
      <w:pPr>
        <w:pStyle w:val="40"/>
        <w:rPr>
          <w:rFonts w:ascii="宋体" w:hAnsi="宋体" w:cs="宋体"/>
          <w:b/>
          <w:bCs/>
        </w:rPr>
      </w:pPr>
      <w:bookmarkStart w:id="46" w:name="_Toc513029210"/>
      <w:bookmarkStart w:id="47" w:name="_Toc16938526"/>
      <w:bookmarkStart w:id="48" w:name="_Toc20823282"/>
      <w:r>
        <w:rPr>
          <w:rFonts w:hint="eastAsia" w:ascii="宋体" w:hAnsi="宋体" w:cs="宋体"/>
          <w:b/>
          <w:bCs/>
        </w:rPr>
        <w:t>6.招标文件构成</w:t>
      </w:r>
      <w:bookmarkEnd w:id="46"/>
      <w:bookmarkEnd w:id="47"/>
      <w:bookmarkEnd w:id="48"/>
    </w:p>
    <w:p>
      <w:pPr>
        <w:pStyle w:val="40"/>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40"/>
        <w:rPr>
          <w:rFonts w:ascii="宋体" w:hAnsi="宋体" w:cs="宋体"/>
        </w:rPr>
      </w:pPr>
      <w:r>
        <w:rPr>
          <w:rFonts w:hint="eastAsia" w:ascii="宋体" w:hAnsi="宋体" w:cs="宋体"/>
        </w:rPr>
        <w:t>（1）招标公告</w:t>
      </w:r>
    </w:p>
    <w:p>
      <w:pPr>
        <w:pStyle w:val="40"/>
        <w:rPr>
          <w:rFonts w:ascii="宋体" w:hAnsi="宋体" w:cs="宋体"/>
        </w:rPr>
      </w:pPr>
      <w:r>
        <w:rPr>
          <w:rFonts w:hint="eastAsia" w:ascii="宋体" w:hAnsi="宋体" w:cs="宋体"/>
        </w:rPr>
        <w:t>（2）投标人须知</w:t>
      </w:r>
    </w:p>
    <w:p>
      <w:pPr>
        <w:pStyle w:val="40"/>
        <w:rPr>
          <w:rFonts w:ascii="宋体" w:hAnsi="宋体" w:cs="宋体"/>
        </w:rPr>
      </w:pPr>
      <w:r>
        <w:rPr>
          <w:rFonts w:hint="eastAsia" w:ascii="宋体" w:hAnsi="宋体" w:cs="宋体"/>
        </w:rPr>
        <w:t>（3）项目需求</w:t>
      </w:r>
    </w:p>
    <w:p>
      <w:pPr>
        <w:pStyle w:val="40"/>
        <w:rPr>
          <w:rFonts w:ascii="宋体" w:hAnsi="宋体" w:cs="宋体"/>
        </w:rPr>
      </w:pPr>
      <w:r>
        <w:rPr>
          <w:rFonts w:hint="eastAsia" w:ascii="宋体" w:hAnsi="宋体" w:cs="宋体"/>
        </w:rPr>
        <w:t>（4）评标方法与评标标准</w:t>
      </w:r>
    </w:p>
    <w:p>
      <w:pPr>
        <w:pStyle w:val="40"/>
        <w:rPr>
          <w:rFonts w:ascii="宋体" w:hAnsi="宋体" w:cs="宋体"/>
        </w:rPr>
      </w:pPr>
      <w:r>
        <w:rPr>
          <w:rFonts w:hint="eastAsia" w:ascii="宋体" w:hAnsi="宋体" w:cs="宋体"/>
        </w:rPr>
        <w:t>（5）投标文件格式</w:t>
      </w:r>
    </w:p>
    <w:p>
      <w:pPr>
        <w:pStyle w:val="40"/>
        <w:rPr>
          <w:rFonts w:ascii="宋体" w:hAnsi="宋体" w:cs="宋体"/>
        </w:rPr>
      </w:pPr>
      <w:r>
        <w:rPr>
          <w:rFonts w:hint="eastAsia" w:ascii="宋体" w:hAnsi="宋体" w:cs="宋体"/>
        </w:rPr>
        <w:t>（6）签订合同范本</w:t>
      </w:r>
    </w:p>
    <w:p>
      <w:pPr>
        <w:pStyle w:val="40"/>
        <w:rPr>
          <w:rFonts w:ascii="宋体" w:hAnsi="宋体" w:cs="宋体"/>
        </w:rPr>
      </w:pPr>
      <w:r>
        <w:rPr>
          <w:rFonts w:hint="eastAsia" w:ascii="宋体" w:hAnsi="宋体" w:cs="宋体"/>
        </w:rPr>
        <w:t>请仔细检查招标文件是否齐全，如有缺漏请立即与采购人联系解决。</w:t>
      </w:r>
    </w:p>
    <w:p>
      <w:pPr>
        <w:pStyle w:val="40"/>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40"/>
        <w:rPr>
          <w:rFonts w:ascii="宋体" w:hAnsi="宋体" w:cs="宋体"/>
          <w:b/>
          <w:bCs/>
        </w:rPr>
      </w:pPr>
      <w:bookmarkStart w:id="49" w:name="_Toc20823283"/>
      <w:bookmarkStart w:id="50" w:name="_Toc462564070"/>
      <w:bookmarkStart w:id="51" w:name="_Toc513029211"/>
      <w:bookmarkStart w:id="52" w:name="_Toc16938527"/>
      <w:r>
        <w:rPr>
          <w:rFonts w:hint="eastAsia" w:ascii="宋体" w:hAnsi="宋体" w:cs="宋体"/>
          <w:b/>
          <w:bCs/>
        </w:rPr>
        <w:t>7.招标文件的澄清</w:t>
      </w:r>
      <w:bookmarkEnd w:id="49"/>
      <w:bookmarkEnd w:id="50"/>
      <w:bookmarkEnd w:id="51"/>
      <w:bookmarkEnd w:id="52"/>
    </w:p>
    <w:p>
      <w:pPr>
        <w:pStyle w:val="40"/>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40"/>
        <w:rPr>
          <w:rFonts w:ascii="宋体" w:hAnsi="宋体" w:cs="宋体"/>
          <w:b/>
          <w:bCs/>
        </w:rPr>
      </w:pPr>
      <w:bookmarkStart w:id="53" w:name="_Toc513029212"/>
      <w:bookmarkStart w:id="54" w:name="_Toc20823284"/>
      <w:bookmarkStart w:id="55" w:name="_Toc16938528"/>
      <w:bookmarkStart w:id="56" w:name="_Toc462564071"/>
      <w:r>
        <w:rPr>
          <w:rFonts w:hint="eastAsia" w:ascii="宋体" w:hAnsi="宋体" w:cs="宋体"/>
          <w:b/>
          <w:bCs/>
        </w:rPr>
        <w:t>8.招标文件的修改</w:t>
      </w:r>
      <w:bookmarkEnd w:id="53"/>
      <w:bookmarkEnd w:id="54"/>
      <w:bookmarkEnd w:id="55"/>
      <w:bookmarkEnd w:id="56"/>
    </w:p>
    <w:p>
      <w:pPr>
        <w:pStyle w:val="40"/>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40"/>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40"/>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40"/>
        <w:rPr>
          <w:rFonts w:ascii="宋体" w:hAnsi="宋体" w:cs="宋体"/>
          <w:b/>
        </w:rPr>
      </w:pPr>
      <w:bookmarkStart w:id="57" w:name="_Toc462564072"/>
      <w:bookmarkStart w:id="58" w:name="_Toc517190884"/>
      <w:bookmarkStart w:id="59" w:name="_Toc20823285"/>
      <w:bookmarkStart w:id="60" w:name="_Toc120614216"/>
      <w:bookmarkStart w:id="61" w:name="_Toc16938529"/>
      <w:bookmarkStart w:id="62" w:name="_Toc513029213"/>
      <w:r>
        <w:rPr>
          <w:rFonts w:hint="eastAsia" w:ascii="宋体" w:hAnsi="宋体" w:cs="宋体"/>
          <w:b/>
        </w:rPr>
        <w:t>三、投标文件的编制</w:t>
      </w:r>
      <w:bookmarkEnd w:id="57"/>
      <w:bookmarkEnd w:id="58"/>
      <w:bookmarkEnd w:id="59"/>
      <w:bookmarkEnd w:id="60"/>
      <w:bookmarkEnd w:id="61"/>
      <w:bookmarkEnd w:id="62"/>
    </w:p>
    <w:p>
      <w:pPr>
        <w:pStyle w:val="40"/>
        <w:rPr>
          <w:rFonts w:ascii="宋体" w:hAnsi="宋体" w:cs="宋体"/>
          <w:bCs/>
        </w:rPr>
      </w:pPr>
      <w:bookmarkStart w:id="63" w:name="_Toc16938530"/>
      <w:bookmarkStart w:id="64" w:name="_Toc20823286"/>
      <w:bookmarkStart w:id="65" w:name="_Toc513029214"/>
      <w:bookmarkStart w:id="66" w:name="_Toc462564073"/>
      <w:r>
        <w:rPr>
          <w:rFonts w:hint="eastAsia" w:ascii="宋体" w:hAnsi="宋体" w:cs="宋体"/>
          <w:b/>
          <w:bCs/>
        </w:rPr>
        <w:t>9.投标文件的语言及度量衡单位</w:t>
      </w:r>
      <w:bookmarkEnd w:id="63"/>
      <w:bookmarkEnd w:id="64"/>
      <w:bookmarkEnd w:id="65"/>
      <w:bookmarkEnd w:id="66"/>
    </w:p>
    <w:p>
      <w:pPr>
        <w:pStyle w:val="40"/>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40"/>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40"/>
        <w:rPr>
          <w:rFonts w:ascii="宋体" w:hAnsi="宋体" w:cs="宋体"/>
          <w:b/>
          <w:bCs/>
        </w:rPr>
      </w:pPr>
      <w:bookmarkStart w:id="67" w:name="_Toc462564074"/>
      <w:bookmarkStart w:id="68" w:name="_Toc16938531"/>
      <w:bookmarkStart w:id="69" w:name="_Toc513029215"/>
      <w:bookmarkStart w:id="70" w:name="_Toc20823287"/>
      <w:r>
        <w:rPr>
          <w:rFonts w:hint="eastAsia" w:ascii="宋体" w:hAnsi="宋体" w:cs="宋体"/>
          <w:b/>
          <w:bCs/>
        </w:rPr>
        <w:t>10.投标文件构成</w:t>
      </w:r>
      <w:bookmarkEnd w:id="67"/>
      <w:bookmarkEnd w:id="68"/>
      <w:bookmarkEnd w:id="69"/>
      <w:bookmarkEnd w:id="70"/>
    </w:p>
    <w:p>
      <w:pPr>
        <w:pStyle w:val="40"/>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40"/>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40"/>
        <w:rPr>
          <w:rFonts w:ascii="宋体" w:hAnsi="宋体" w:cs="宋体"/>
          <w:b/>
          <w:bCs/>
        </w:rPr>
      </w:pPr>
      <w:bookmarkStart w:id="71" w:name="_Hlt26668975"/>
      <w:bookmarkEnd w:id="71"/>
      <w:bookmarkStart w:id="72" w:name="_Hlt26670360"/>
      <w:bookmarkEnd w:id="72"/>
      <w:bookmarkStart w:id="73" w:name="_Hlt26954838"/>
      <w:bookmarkEnd w:id="73"/>
      <w:bookmarkStart w:id="74" w:name="_Toc14577357"/>
      <w:bookmarkStart w:id="75" w:name="_Toc513029219"/>
      <w:bookmarkStart w:id="76" w:name="_Toc49090509"/>
      <w:bookmarkStart w:id="77" w:name="_Toc513029216"/>
      <w:bookmarkStart w:id="78" w:name="_Toc14577354"/>
      <w:bookmarkStart w:id="79" w:name="_Toc49090507"/>
      <w:r>
        <w:rPr>
          <w:rFonts w:hint="eastAsia" w:ascii="宋体" w:hAnsi="宋体" w:cs="宋体"/>
          <w:b/>
          <w:bCs/>
        </w:rPr>
        <w:t>11.证明投标人资格及符合招标文件规定的文件</w:t>
      </w:r>
      <w:bookmarkEnd w:id="74"/>
      <w:bookmarkEnd w:id="75"/>
      <w:bookmarkEnd w:id="76"/>
    </w:p>
    <w:p>
      <w:pPr>
        <w:pStyle w:val="40"/>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40"/>
        <w:rPr>
          <w:rFonts w:ascii="宋体" w:hAnsi="宋体" w:cs="宋体"/>
        </w:rPr>
      </w:pPr>
      <w:r>
        <w:rPr>
          <w:rFonts w:hint="eastAsia" w:ascii="宋体" w:hAnsi="宋体" w:cs="宋体"/>
        </w:rPr>
        <w:t>11.2投标人应具有资格参加投标和中标后有能力独立履行合同的能力。</w:t>
      </w:r>
    </w:p>
    <w:p>
      <w:pPr>
        <w:pStyle w:val="40"/>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40"/>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40"/>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40"/>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40"/>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40"/>
        <w:rPr>
          <w:rFonts w:ascii="宋体" w:hAnsi="宋体" w:cs="宋体"/>
          <w:bCs/>
        </w:rPr>
      </w:pPr>
      <w:r>
        <w:rPr>
          <w:rFonts w:hint="eastAsia" w:ascii="宋体" w:hAnsi="宋体" w:cs="宋体"/>
        </w:rPr>
        <w:t>12.3</w:t>
      </w:r>
      <w:r>
        <w:rPr>
          <w:rFonts w:hint="eastAsia" w:ascii="宋体" w:hAnsi="宋体" w:cs="宋体"/>
          <w:bCs/>
        </w:rPr>
        <w:t>有关费用处理</w:t>
      </w:r>
    </w:p>
    <w:p>
      <w:pPr>
        <w:pStyle w:val="40"/>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40"/>
        <w:rPr>
          <w:rFonts w:ascii="宋体" w:hAnsi="宋体" w:cs="宋体"/>
          <w:bCs/>
        </w:rPr>
      </w:pPr>
      <w:r>
        <w:rPr>
          <w:rFonts w:hint="eastAsia" w:ascii="宋体" w:hAnsi="宋体" w:cs="宋体"/>
        </w:rPr>
        <w:t>12.4</w:t>
      </w:r>
      <w:r>
        <w:rPr>
          <w:rFonts w:hint="eastAsia" w:ascii="宋体" w:hAnsi="宋体" w:cs="宋体"/>
          <w:bCs/>
        </w:rPr>
        <w:t>其它费用处理</w:t>
      </w:r>
    </w:p>
    <w:p>
      <w:pPr>
        <w:pStyle w:val="40"/>
        <w:rPr>
          <w:rFonts w:ascii="宋体" w:hAnsi="宋体" w:cs="宋体"/>
          <w:bCs/>
        </w:rPr>
      </w:pPr>
      <w:r>
        <w:rPr>
          <w:rFonts w:hint="eastAsia" w:ascii="宋体" w:hAnsi="宋体" w:cs="宋体"/>
          <w:bCs/>
        </w:rPr>
        <w:t>招标文件未列明，而投标人认为必需的费用也需列入报价。</w:t>
      </w:r>
    </w:p>
    <w:p>
      <w:pPr>
        <w:pStyle w:val="40"/>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40"/>
        <w:rPr>
          <w:rFonts w:ascii="宋体" w:hAnsi="宋体" w:cs="宋体"/>
          <w:bCs/>
        </w:rPr>
      </w:pPr>
      <w:bookmarkStart w:id="86" w:name="_Hlt26668983"/>
      <w:bookmarkEnd w:id="86"/>
      <w:bookmarkStart w:id="87" w:name="_Hlt26954844"/>
      <w:bookmarkEnd w:id="87"/>
      <w:bookmarkStart w:id="88" w:name="_Hlt26954842"/>
      <w:bookmarkEnd w:id="88"/>
      <w:bookmarkStart w:id="89" w:name="_Hlt26670403"/>
      <w:bookmarkEnd w:id="89"/>
      <w:bookmarkStart w:id="90" w:name="_Hlt26670425"/>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40"/>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40"/>
        <w:rPr>
          <w:rFonts w:ascii="宋体" w:hAnsi="宋体" w:cs="宋体"/>
          <w:b/>
          <w:bCs/>
        </w:rPr>
      </w:pPr>
      <w:bookmarkStart w:id="91" w:name="_Hlt26670486"/>
      <w:bookmarkEnd w:id="91"/>
      <w:bookmarkStart w:id="92" w:name="_Hlt26954731"/>
      <w:bookmarkEnd w:id="92"/>
      <w:bookmarkStart w:id="93" w:name="_Hlt26954848"/>
      <w:bookmarkEnd w:id="93"/>
      <w:bookmarkStart w:id="94" w:name="_Hlt26670482"/>
      <w:bookmarkEnd w:id="94"/>
      <w:bookmarkStart w:id="95" w:name="_Hlt26954846"/>
      <w:bookmarkEnd w:id="95"/>
      <w:r>
        <w:rPr>
          <w:rFonts w:hint="eastAsia" w:ascii="宋体" w:hAnsi="宋体" w:cs="宋体"/>
          <w:b/>
          <w:bCs/>
        </w:rPr>
        <w:t>13.技术参数响应及偏离表和投标货物说明</w:t>
      </w:r>
    </w:p>
    <w:p>
      <w:pPr>
        <w:pStyle w:val="40"/>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40"/>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40"/>
        <w:rPr>
          <w:rFonts w:ascii="宋体" w:hAnsi="宋体" w:cs="宋体"/>
          <w:lang w:val="zh-CN"/>
        </w:rPr>
      </w:pPr>
      <w:r>
        <w:rPr>
          <w:rFonts w:hint="eastAsia" w:ascii="宋体" w:hAnsi="宋体" w:cs="宋体"/>
          <w:lang w:val="zh-CN"/>
        </w:rPr>
        <w:t>13.3 投标人认为需要的其他技术文件或说明。</w:t>
      </w:r>
    </w:p>
    <w:p>
      <w:pPr>
        <w:pStyle w:val="40"/>
        <w:rPr>
          <w:rFonts w:ascii="宋体" w:hAnsi="宋体" w:cs="宋体"/>
          <w:b/>
          <w:bCs/>
        </w:rPr>
      </w:pPr>
      <w:r>
        <w:rPr>
          <w:rFonts w:hint="eastAsia" w:ascii="宋体" w:hAnsi="宋体" w:cs="宋体"/>
          <w:b/>
          <w:bCs/>
        </w:rPr>
        <w:t>14.服务承诺及售后服务机构、人员的情况介绍</w:t>
      </w:r>
    </w:p>
    <w:p>
      <w:pPr>
        <w:pStyle w:val="40"/>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40"/>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40"/>
        <w:rPr>
          <w:rFonts w:ascii="宋体" w:hAnsi="宋体" w:cs="宋体"/>
          <w:lang w:val="zh-CN"/>
        </w:rPr>
      </w:pPr>
      <w:r>
        <w:rPr>
          <w:rFonts w:hint="eastAsia" w:ascii="宋体" w:hAnsi="宋体" w:cs="宋体"/>
          <w:lang w:val="zh-CN"/>
        </w:rPr>
        <w:t>14.3 培训计划；</w:t>
      </w:r>
    </w:p>
    <w:p>
      <w:pPr>
        <w:pStyle w:val="40"/>
        <w:rPr>
          <w:rFonts w:ascii="宋体" w:hAnsi="宋体" w:cs="宋体"/>
          <w:lang w:val="zh-CN"/>
        </w:rPr>
      </w:pPr>
      <w:r>
        <w:rPr>
          <w:rFonts w:hint="eastAsia" w:ascii="宋体" w:hAnsi="宋体" w:cs="宋体"/>
          <w:lang w:val="zh-CN"/>
        </w:rPr>
        <w:t>14.4 提供参加本项目类似案例简介；</w:t>
      </w:r>
    </w:p>
    <w:p>
      <w:pPr>
        <w:pStyle w:val="40"/>
        <w:rPr>
          <w:rFonts w:ascii="宋体" w:hAnsi="宋体" w:cs="宋体"/>
          <w:b/>
          <w:bCs/>
        </w:rPr>
      </w:pPr>
      <w:bookmarkStart w:id="96" w:name="_Toc49090510"/>
      <w:bookmarkStart w:id="97" w:name="_Toc14577359"/>
      <w:r>
        <w:rPr>
          <w:rFonts w:hint="eastAsia" w:ascii="宋体" w:hAnsi="宋体" w:cs="宋体"/>
          <w:b/>
          <w:bCs/>
        </w:rPr>
        <w:t>15.投标函和开标一览表</w:t>
      </w:r>
    </w:p>
    <w:p>
      <w:pPr>
        <w:pStyle w:val="40"/>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40"/>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40"/>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40"/>
        <w:rPr>
          <w:rFonts w:ascii="宋体" w:hAnsi="宋体" w:cs="宋体"/>
          <w:b/>
          <w:bCs/>
        </w:rPr>
      </w:pPr>
      <w:r>
        <w:rPr>
          <w:rFonts w:hint="eastAsia" w:ascii="宋体" w:hAnsi="宋体" w:cs="宋体"/>
          <w:b/>
          <w:bCs/>
        </w:rPr>
        <w:t>16.投标保证金</w:t>
      </w:r>
      <w:bookmarkEnd w:id="96"/>
      <w:bookmarkEnd w:id="97"/>
    </w:p>
    <w:p>
      <w:pPr>
        <w:pStyle w:val="40"/>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40"/>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40"/>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40"/>
        <w:rPr>
          <w:rFonts w:ascii="宋体" w:hAnsi="宋体" w:cs="宋体"/>
          <w:bCs/>
        </w:rPr>
      </w:pPr>
      <w:r>
        <w:rPr>
          <w:rFonts w:hint="eastAsia" w:ascii="宋体" w:hAnsi="宋体" w:cs="宋体"/>
          <w:bCs/>
        </w:rPr>
        <w:t>（1）投标人在投标有效期内撤回其投标；</w:t>
      </w:r>
    </w:p>
    <w:p>
      <w:pPr>
        <w:pStyle w:val="40"/>
        <w:rPr>
          <w:rFonts w:ascii="宋体" w:hAnsi="宋体" w:cs="宋体"/>
          <w:bCs/>
        </w:rPr>
      </w:pPr>
      <w:r>
        <w:rPr>
          <w:rFonts w:hint="eastAsia" w:ascii="宋体" w:hAnsi="宋体" w:cs="宋体"/>
          <w:bCs/>
        </w:rPr>
        <w:t>（2）投标人提供的有关资料、资格证明文件被确认是不真实的；</w:t>
      </w:r>
    </w:p>
    <w:p>
      <w:pPr>
        <w:pStyle w:val="40"/>
        <w:rPr>
          <w:rFonts w:ascii="宋体" w:hAnsi="宋体" w:cs="宋体"/>
        </w:rPr>
      </w:pPr>
      <w:r>
        <w:rPr>
          <w:rFonts w:hint="eastAsia" w:ascii="宋体" w:hAnsi="宋体" w:cs="宋体"/>
        </w:rPr>
        <w:t>（3）投标人之间被证实有串通（统一哄抬价格）、欺诈行为；</w:t>
      </w:r>
    </w:p>
    <w:p>
      <w:pPr>
        <w:pStyle w:val="40"/>
        <w:rPr>
          <w:rFonts w:ascii="宋体" w:hAnsi="宋体" w:cs="宋体"/>
        </w:rPr>
      </w:pPr>
      <w:r>
        <w:rPr>
          <w:rFonts w:hint="eastAsia" w:ascii="宋体" w:hAnsi="宋体" w:cs="宋体"/>
        </w:rPr>
        <w:t>（4）投标人被证明有妨碍其他人公平竞争、损害采购人或者其他投标人合法权益的；</w:t>
      </w:r>
    </w:p>
    <w:p>
      <w:pPr>
        <w:pStyle w:val="40"/>
        <w:rPr>
          <w:rFonts w:ascii="宋体" w:hAnsi="宋体" w:cs="宋体"/>
          <w:b/>
          <w:bCs/>
        </w:rPr>
      </w:pPr>
      <w:bookmarkStart w:id="98" w:name="_Hlt26954850"/>
      <w:bookmarkEnd w:id="98"/>
      <w:bookmarkStart w:id="99" w:name="_Hlt26670489"/>
      <w:bookmarkEnd w:id="99"/>
      <w:bookmarkStart w:id="100" w:name="_Hlt26954852"/>
      <w:bookmarkEnd w:id="100"/>
      <w:bookmarkStart w:id="101" w:name="_Hlt26954734"/>
      <w:bookmarkEnd w:id="101"/>
      <w:bookmarkStart w:id="102" w:name="_Hlt26954739"/>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40"/>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40"/>
        <w:rPr>
          <w:rFonts w:ascii="宋体" w:hAnsi="宋体" w:cs="宋体"/>
        </w:rPr>
      </w:pPr>
      <w:r>
        <w:rPr>
          <w:rFonts w:hint="eastAsia" w:ascii="宋体" w:hAnsi="宋体" w:cs="宋体"/>
        </w:rPr>
        <w:t>17.2投标文件的正本须经法定代表人或授权代表签署和加盖投标人公章。</w:t>
      </w:r>
    </w:p>
    <w:p>
      <w:pPr>
        <w:pStyle w:val="40"/>
        <w:rPr>
          <w:rFonts w:ascii="宋体" w:hAnsi="宋体" w:cs="宋体"/>
          <w:b/>
        </w:rPr>
      </w:pPr>
      <w:bookmarkStart w:id="105" w:name="_Toc20823296"/>
      <w:bookmarkStart w:id="106" w:name="_Toc517190885"/>
      <w:bookmarkStart w:id="107" w:name="_Toc16938540"/>
      <w:bookmarkStart w:id="108" w:name="_Toc120614217"/>
      <w:bookmarkStart w:id="109" w:name="_Toc513029224"/>
      <w:r>
        <w:rPr>
          <w:rFonts w:hint="eastAsia" w:ascii="宋体" w:hAnsi="宋体" w:cs="宋体"/>
          <w:b/>
        </w:rPr>
        <w:t>四、投标文件的递交</w:t>
      </w:r>
      <w:bookmarkEnd w:id="105"/>
      <w:bookmarkEnd w:id="106"/>
      <w:bookmarkEnd w:id="107"/>
      <w:bookmarkEnd w:id="108"/>
      <w:bookmarkEnd w:id="109"/>
    </w:p>
    <w:p>
      <w:pPr>
        <w:pStyle w:val="40"/>
        <w:rPr>
          <w:rFonts w:ascii="宋体" w:hAnsi="宋体" w:cs="宋体"/>
          <w:b/>
          <w:bCs/>
        </w:rPr>
      </w:pPr>
      <w:bookmarkStart w:id="110" w:name="_Toc20823297"/>
      <w:bookmarkStart w:id="111" w:name="_Toc16938541"/>
      <w:bookmarkStart w:id="112" w:name="_Toc513029225"/>
      <w:bookmarkStart w:id="113" w:name="_Toc462564084"/>
      <w:r>
        <w:rPr>
          <w:rFonts w:hint="eastAsia" w:ascii="宋体" w:hAnsi="宋体" w:cs="宋体"/>
          <w:b/>
          <w:bCs/>
        </w:rPr>
        <w:t>18.投标文件的密封和标记</w:t>
      </w:r>
      <w:bookmarkEnd w:id="110"/>
      <w:bookmarkEnd w:id="111"/>
      <w:bookmarkEnd w:id="112"/>
      <w:bookmarkEnd w:id="113"/>
    </w:p>
    <w:p>
      <w:pPr>
        <w:pStyle w:val="40"/>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40"/>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40"/>
        <w:rPr>
          <w:rFonts w:ascii="宋体" w:hAnsi="宋体" w:cs="宋体"/>
          <w:bCs/>
        </w:rPr>
      </w:pPr>
      <w:r>
        <w:rPr>
          <w:rFonts w:hint="eastAsia" w:ascii="宋体" w:hAnsi="宋体" w:cs="宋体"/>
          <w:bCs/>
        </w:rPr>
        <w:t>（1）注明投标人名称，如因标注不清而产生的后果由投标人自负。</w:t>
      </w:r>
    </w:p>
    <w:p>
      <w:pPr>
        <w:pStyle w:val="40"/>
        <w:rPr>
          <w:rFonts w:ascii="宋体" w:hAnsi="宋体" w:cs="宋体"/>
          <w:bCs/>
        </w:rPr>
      </w:pPr>
      <w:r>
        <w:rPr>
          <w:rFonts w:hint="eastAsia" w:ascii="宋体" w:hAnsi="宋体" w:cs="宋体"/>
          <w:bCs/>
        </w:rPr>
        <w:t>（2）注明投标项目名称、标书编号及包号。</w:t>
      </w:r>
    </w:p>
    <w:p>
      <w:pPr>
        <w:pStyle w:val="40"/>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40"/>
        <w:rPr>
          <w:rFonts w:ascii="宋体" w:hAnsi="宋体" w:cs="宋体"/>
          <w:b/>
          <w:bCs/>
        </w:rPr>
      </w:pPr>
      <w:bookmarkStart w:id="114" w:name="_Toc20823298"/>
      <w:bookmarkStart w:id="115" w:name="_Toc513029226"/>
      <w:bookmarkStart w:id="116" w:name="_Toc16938542"/>
      <w:r>
        <w:rPr>
          <w:rFonts w:hint="eastAsia" w:ascii="宋体" w:hAnsi="宋体" w:cs="宋体"/>
          <w:b/>
          <w:bCs/>
        </w:rPr>
        <w:t>19.投标截止</w:t>
      </w:r>
      <w:bookmarkEnd w:id="114"/>
      <w:bookmarkEnd w:id="115"/>
      <w:bookmarkEnd w:id="116"/>
      <w:r>
        <w:rPr>
          <w:rFonts w:hint="eastAsia" w:ascii="宋体" w:hAnsi="宋体" w:cs="宋体"/>
          <w:b/>
          <w:bCs/>
        </w:rPr>
        <w:t>时间</w:t>
      </w:r>
    </w:p>
    <w:p>
      <w:pPr>
        <w:pStyle w:val="40"/>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40"/>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40"/>
        <w:rPr>
          <w:rFonts w:ascii="宋体" w:hAnsi="宋体" w:cs="宋体"/>
          <w:b/>
          <w:bCs/>
        </w:rPr>
      </w:pPr>
      <w:bookmarkStart w:id="117" w:name="_Toc513029227"/>
      <w:bookmarkStart w:id="118" w:name="_Toc20823299"/>
      <w:bookmarkStart w:id="119" w:name="_Toc16938543"/>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40"/>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40"/>
        <w:rPr>
          <w:rFonts w:ascii="宋体" w:hAnsi="宋体" w:cs="宋体"/>
          <w:bCs/>
        </w:rPr>
      </w:pPr>
      <w:r>
        <w:rPr>
          <w:rFonts w:hint="eastAsia" w:ascii="宋体" w:hAnsi="宋体" w:cs="宋体"/>
          <w:bCs/>
        </w:rPr>
        <w:t>20.2未按照招标文件要求的格式编制的投标文件，后果由投标人承担。</w:t>
      </w:r>
    </w:p>
    <w:p>
      <w:pPr>
        <w:pStyle w:val="40"/>
        <w:rPr>
          <w:rFonts w:ascii="宋体" w:hAnsi="宋体" w:cs="宋体"/>
          <w:b/>
          <w:bCs/>
        </w:rPr>
      </w:pPr>
      <w:bookmarkStart w:id="120" w:name="_Toc513029228"/>
      <w:bookmarkStart w:id="121" w:name="_Toc16938544"/>
      <w:bookmarkStart w:id="122" w:name="_Toc20823300"/>
      <w:r>
        <w:rPr>
          <w:rFonts w:hint="eastAsia" w:ascii="宋体" w:hAnsi="宋体" w:cs="宋体"/>
          <w:b/>
          <w:bCs/>
        </w:rPr>
        <w:t>21.投标文件的修改和撤回</w:t>
      </w:r>
      <w:bookmarkEnd w:id="120"/>
      <w:bookmarkEnd w:id="121"/>
      <w:bookmarkEnd w:id="122"/>
    </w:p>
    <w:p>
      <w:pPr>
        <w:pStyle w:val="40"/>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40"/>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40"/>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40"/>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40"/>
        <w:rPr>
          <w:rFonts w:ascii="宋体" w:hAnsi="宋体" w:cs="宋体"/>
          <w:b/>
        </w:rPr>
      </w:pPr>
      <w:bookmarkStart w:id="123" w:name="_Toc120614218"/>
      <w:bookmarkStart w:id="124" w:name="_Toc16938545"/>
      <w:bookmarkStart w:id="125" w:name="_Toc517190886"/>
      <w:bookmarkStart w:id="126" w:name="_Toc20823301"/>
      <w:bookmarkStart w:id="127" w:name="_Toc513029229"/>
      <w:r>
        <w:rPr>
          <w:rFonts w:hint="eastAsia" w:ascii="宋体" w:hAnsi="宋体" w:cs="宋体"/>
          <w:b/>
        </w:rPr>
        <w:t>五、开标与评标</w:t>
      </w:r>
      <w:bookmarkEnd w:id="123"/>
      <w:bookmarkEnd w:id="124"/>
      <w:bookmarkEnd w:id="125"/>
      <w:bookmarkEnd w:id="126"/>
      <w:bookmarkEnd w:id="127"/>
    </w:p>
    <w:p>
      <w:pPr>
        <w:pStyle w:val="40"/>
        <w:rPr>
          <w:rFonts w:ascii="宋体" w:hAnsi="宋体" w:cs="宋体"/>
          <w:b/>
          <w:bCs/>
        </w:rPr>
      </w:pPr>
      <w:bookmarkStart w:id="128" w:name="_Toc20823302"/>
      <w:bookmarkStart w:id="129" w:name="_Toc513029230"/>
      <w:bookmarkStart w:id="130" w:name="_Toc16938546"/>
      <w:r>
        <w:rPr>
          <w:rFonts w:hint="eastAsia" w:ascii="宋体" w:hAnsi="宋体" w:cs="宋体"/>
          <w:b/>
          <w:bCs/>
        </w:rPr>
        <w:t>22.开标</w:t>
      </w:r>
      <w:bookmarkEnd w:id="128"/>
      <w:bookmarkEnd w:id="129"/>
      <w:bookmarkEnd w:id="130"/>
    </w:p>
    <w:p>
      <w:pPr>
        <w:pStyle w:val="40"/>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40"/>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40"/>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40"/>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40"/>
        <w:rPr>
          <w:rFonts w:ascii="宋体" w:hAnsi="宋体" w:cs="宋体"/>
        </w:rPr>
      </w:pPr>
      <w:r>
        <w:rPr>
          <w:rFonts w:hint="eastAsia" w:ascii="宋体" w:hAnsi="宋体" w:cs="宋体"/>
        </w:rPr>
        <w:t>22.5 投标人在报价时不允许采用选择性报价，否则将被视为无效投标。</w:t>
      </w:r>
    </w:p>
    <w:p>
      <w:pPr>
        <w:pStyle w:val="40"/>
        <w:rPr>
          <w:rFonts w:ascii="宋体" w:hAnsi="宋体" w:cs="宋体"/>
          <w:bCs/>
        </w:rPr>
      </w:pPr>
      <w:r>
        <w:rPr>
          <w:rFonts w:hint="eastAsia" w:ascii="宋体" w:hAnsi="宋体" w:cs="宋体"/>
          <w:bCs/>
        </w:rPr>
        <w:t>22.6 投标截止时间结束后参加投标的供应商不足三家的，不得开标。</w:t>
      </w:r>
    </w:p>
    <w:p>
      <w:pPr>
        <w:pStyle w:val="40"/>
        <w:rPr>
          <w:rFonts w:ascii="宋体" w:hAnsi="宋体" w:cs="宋体"/>
          <w:b/>
          <w:bCs/>
        </w:rPr>
      </w:pPr>
      <w:bookmarkStart w:id="131" w:name="_Toc16938547"/>
      <w:bookmarkStart w:id="132" w:name="_Toc20823303"/>
      <w:bookmarkStart w:id="133" w:name="_Toc513029231"/>
      <w:r>
        <w:rPr>
          <w:rFonts w:hint="eastAsia" w:ascii="宋体" w:hAnsi="宋体" w:cs="宋体"/>
          <w:b/>
          <w:bCs/>
        </w:rPr>
        <w:t>23.评标</w:t>
      </w:r>
    </w:p>
    <w:p>
      <w:pPr>
        <w:pStyle w:val="40"/>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40"/>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40"/>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40"/>
        <w:rPr>
          <w:rFonts w:ascii="宋体" w:hAnsi="宋体" w:cs="宋体"/>
          <w:b/>
          <w:bCs/>
        </w:rPr>
      </w:pPr>
      <w:bookmarkStart w:id="134" w:name="_Toc20823304"/>
      <w:bookmarkStart w:id="135" w:name="_Toc16938548"/>
      <w:bookmarkStart w:id="136" w:name="_Toc513029232"/>
      <w:r>
        <w:rPr>
          <w:rFonts w:hint="eastAsia" w:ascii="宋体" w:hAnsi="宋体" w:cs="宋体"/>
          <w:b/>
          <w:bCs/>
        </w:rPr>
        <w:t>24.投标的澄清</w:t>
      </w:r>
      <w:bookmarkEnd w:id="134"/>
      <w:bookmarkEnd w:id="135"/>
      <w:bookmarkEnd w:id="136"/>
    </w:p>
    <w:p>
      <w:pPr>
        <w:pStyle w:val="40"/>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40"/>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40"/>
        <w:rPr>
          <w:rFonts w:ascii="宋体" w:hAnsi="宋体" w:cs="宋体"/>
        </w:rPr>
      </w:pPr>
      <w:r>
        <w:rPr>
          <w:rFonts w:hint="eastAsia" w:ascii="宋体" w:hAnsi="宋体" w:cs="宋体"/>
        </w:rPr>
        <w:t>24.3 接到评委会澄清要求的投标人如未按规定做出澄清，后果由投标人自行承担。</w:t>
      </w:r>
    </w:p>
    <w:p>
      <w:pPr>
        <w:pStyle w:val="40"/>
        <w:rPr>
          <w:rFonts w:ascii="宋体" w:hAnsi="宋体" w:cs="宋体"/>
          <w:b/>
          <w:bCs/>
        </w:rPr>
      </w:pPr>
      <w:bookmarkStart w:id="137" w:name="_Toc20823306"/>
      <w:bookmarkStart w:id="138" w:name="_Toc513029234"/>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40"/>
        <w:rPr>
          <w:rFonts w:ascii="宋体" w:hAnsi="宋体" w:cs="宋体"/>
          <w:bCs/>
        </w:rPr>
      </w:pPr>
      <w:bookmarkStart w:id="140" w:name="_Toc16938551"/>
      <w:bookmarkStart w:id="141" w:name="_Toc513029235"/>
      <w:bookmarkStart w:id="142" w:name="_Toc20823307"/>
      <w:r>
        <w:rPr>
          <w:rFonts w:hint="eastAsia" w:ascii="宋体" w:hAnsi="宋体" w:cs="宋体"/>
          <w:bCs/>
        </w:rPr>
        <w:t>25.1无效投标条款</w:t>
      </w:r>
    </w:p>
    <w:p>
      <w:pPr>
        <w:pStyle w:val="40"/>
        <w:rPr>
          <w:rFonts w:ascii="宋体" w:hAnsi="宋体" w:cs="宋体"/>
          <w:bCs/>
        </w:rPr>
      </w:pPr>
      <w:r>
        <w:rPr>
          <w:rFonts w:hint="eastAsia" w:ascii="宋体" w:hAnsi="宋体" w:cs="宋体"/>
          <w:bCs/>
        </w:rPr>
        <w:t>（1）未按要求交纳投标保证金的。</w:t>
      </w:r>
    </w:p>
    <w:p>
      <w:pPr>
        <w:pStyle w:val="40"/>
        <w:rPr>
          <w:rFonts w:ascii="宋体" w:hAnsi="宋体" w:cs="宋体"/>
          <w:bCs/>
        </w:rPr>
      </w:pPr>
      <w:r>
        <w:rPr>
          <w:rFonts w:hint="eastAsia" w:ascii="宋体" w:hAnsi="宋体" w:cs="宋体"/>
          <w:bCs/>
        </w:rPr>
        <w:t>（2）未按照招标文件规定要求密封、签署、盖章的。</w:t>
      </w:r>
    </w:p>
    <w:p>
      <w:pPr>
        <w:pStyle w:val="40"/>
        <w:rPr>
          <w:rFonts w:ascii="宋体" w:hAnsi="宋体" w:cs="宋体"/>
          <w:bCs/>
        </w:rPr>
      </w:pPr>
      <w:r>
        <w:rPr>
          <w:rFonts w:hint="eastAsia" w:ascii="宋体" w:hAnsi="宋体" w:cs="宋体"/>
          <w:bCs/>
        </w:rPr>
        <w:t>（3）投标人在报价时采用选择性报价的。</w:t>
      </w:r>
    </w:p>
    <w:p>
      <w:pPr>
        <w:pStyle w:val="40"/>
        <w:rPr>
          <w:rFonts w:ascii="宋体" w:hAnsi="宋体" w:cs="宋体"/>
          <w:bCs/>
        </w:rPr>
      </w:pPr>
      <w:r>
        <w:rPr>
          <w:rFonts w:hint="eastAsia" w:ascii="宋体" w:hAnsi="宋体" w:cs="宋体"/>
          <w:bCs/>
        </w:rPr>
        <w:t>（4）投标人不具备招标文件中规定资格要求的。</w:t>
      </w:r>
    </w:p>
    <w:p>
      <w:pPr>
        <w:pStyle w:val="40"/>
        <w:rPr>
          <w:rFonts w:ascii="宋体" w:hAnsi="宋体" w:cs="宋体"/>
          <w:bCs/>
        </w:rPr>
      </w:pPr>
      <w:r>
        <w:rPr>
          <w:rFonts w:hint="eastAsia" w:ascii="宋体" w:hAnsi="宋体" w:cs="宋体"/>
          <w:bCs/>
        </w:rPr>
        <w:t>（5）投标人的报价超过了采购预算或最高限价的。</w:t>
      </w:r>
    </w:p>
    <w:p>
      <w:pPr>
        <w:pStyle w:val="40"/>
        <w:rPr>
          <w:rFonts w:ascii="宋体" w:hAnsi="宋体" w:cs="宋体"/>
          <w:bCs/>
          <w:i/>
          <w:u w:val="single"/>
        </w:rPr>
      </w:pPr>
      <w:r>
        <w:rPr>
          <w:rFonts w:hint="eastAsia" w:ascii="宋体" w:hAnsi="宋体" w:cs="宋体"/>
          <w:bCs/>
        </w:rPr>
        <w:t>（6）未通过符合性检查的。</w:t>
      </w:r>
    </w:p>
    <w:p>
      <w:pPr>
        <w:pStyle w:val="40"/>
        <w:rPr>
          <w:rFonts w:ascii="宋体" w:hAnsi="宋体" w:cs="宋体"/>
          <w:bCs/>
          <w:i/>
          <w:u w:val="single"/>
        </w:rPr>
      </w:pPr>
      <w:r>
        <w:rPr>
          <w:rFonts w:hint="eastAsia" w:ascii="宋体" w:hAnsi="宋体" w:cs="宋体"/>
          <w:bCs/>
        </w:rPr>
        <w:t>（7）不符合招标文件中规定的其他实质性要求和条件的。</w:t>
      </w:r>
    </w:p>
    <w:p>
      <w:pPr>
        <w:pStyle w:val="40"/>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40"/>
        <w:rPr>
          <w:rFonts w:ascii="宋体" w:hAnsi="宋体" w:cs="宋体"/>
          <w:bCs/>
        </w:rPr>
      </w:pPr>
      <w:r>
        <w:rPr>
          <w:rFonts w:hint="eastAsia" w:ascii="宋体" w:hAnsi="宋体" w:cs="宋体"/>
          <w:bCs/>
        </w:rPr>
        <w:t>（9）  投标文件含有采购人不能接受的附加条件的。</w:t>
      </w:r>
    </w:p>
    <w:p>
      <w:pPr>
        <w:pStyle w:val="40"/>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rPr>
          <w:rFonts w:ascii="宋体" w:hAnsi="宋体" w:cs="宋体"/>
          <w:bCs/>
        </w:rPr>
      </w:pPr>
      <w:r>
        <w:rPr>
          <w:rFonts w:hint="eastAsia" w:ascii="宋体" w:hAnsi="宋体" w:cs="宋体"/>
          <w:bCs/>
        </w:rPr>
        <w:t>（11）其他法律、法规及本招标文件规定的属无效投标的情形。</w:t>
      </w:r>
    </w:p>
    <w:p>
      <w:pPr>
        <w:pStyle w:val="40"/>
        <w:rPr>
          <w:rFonts w:ascii="宋体" w:hAnsi="宋体" w:cs="宋体"/>
          <w:bCs/>
        </w:rPr>
      </w:pPr>
      <w:r>
        <w:rPr>
          <w:rFonts w:hint="eastAsia" w:ascii="宋体" w:hAnsi="宋体" w:cs="宋体"/>
          <w:bCs/>
        </w:rPr>
        <w:t>25.2废标条款：</w:t>
      </w:r>
    </w:p>
    <w:p>
      <w:pPr>
        <w:pStyle w:val="40"/>
        <w:rPr>
          <w:rFonts w:ascii="宋体" w:hAnsi="宋体" w:cs="宋体"/>
          <w:bCs/>
        </w:rPr>
      </w:pPr>
      <w:r>
        <w:rPr>
          <w:rFonts w:hint="eastAsia" w:ascii="宋体" w:hAnsi="宋体" w:cs="宋体"/>
          <w:bCs/>
        </w:rPr>
        <w:t>（1）符合专业条件的供应商或者对招标文件作实质响应的供应商不足三家的。</w:t>
      </w:r>
    </w:p>
    <w:p>
      <w:pPr>
        <w:pStyle w:val="40"/>
        <w:rPr>
          <w:rFonts w:ascii="宋体" w:hAnsi="宋体" w:cs="宋体"/>
          <w:bCs/>
        </w:rPr>
      </w:pPr>
      <w:r>
        <w:rPr>
          <w:rFonts w:hint="eastAsia" w:ascii="宋体" w:hAnsi="宋体" w:cs="宋体"/>
          <w:bCs/>
        </w:rPr>
        <w:t>（2）出现影响采购公正的违法、违规行为的。</w:t>
      </w:r>
    </w:p>
    <w:p>
      <w:pPr>
        <w:pStyle w:val="40"/>
        <w:rPr>
          <w:rFonts w:ascii="宋体" w:hAnsi="宋体" w:cs="宋体"/>
          <w:bCs/>
        </w:rPr>
      </w:pPr>
      <w:r>
        <w:rPr>
          <w:rFonts w:hint="eastAsia" w:ascii="宋体" w:hAnsi="宋体" w:cs="宋体"/>
          <w:bCs/>
        </w:rPr>
        <w:t>（3）因重大变故，采购任务取消的。</w:t>
      </w:r>
    </w:p>
    <w:p>
      <w:pPr>
        <w:pStyle w:val="40"/>
        <w:rPr>
          <w:rFonts w:ascii="宋体" w:hAnsi="宋体" w:cs="宋体"/>
          <w:bCs/>
        </w:rPr>
      </w:pPr>
      <w:r>
        <w:rPr>
          <w:rFonts w:hint="eastAsia" w:ascii="宋体" w:hAnsi="宋体" w:cs="宋体"/>
          <w:bCs/>
        </w:rPr>
        <w:t>（4）评标委员会认定招标文件存在歧义、重大缺陷导致评审工作无法进行的。</w:t>
      </w:r>
    </w:p>
    <w:p>
      <w:pPr>
        <w:pStyle w:val="40"/>
        <w:rPr>
          <w:rFonts w:ascii="宋体" w:hAnsi="宋体" w:cs="宋体"/>
          <w:b/>
        </w:rPr>
      </w:pPr>
      <w:bookmarkStart w:id="143" w:name="_Toc517190887"/>
      <w:bookmarkStart w:id="144" w:name="_Toc120614219"/>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40"/>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40"/>
        <w:rPr>
          <w:rFonts w:ascii="宋体" w:hAnsi="宋体" w:cs="宋体"/>
          <w:bCs/>
        </w:rPr>
      </w:pPr>
      <w:r>
        <w:rPr>
          <w:rFonts w:hint="eastAsia" w:ascii="宋体" w:hAnsi="宋体" w:cs="宋体"/>
          <w:bCs/>
        </w:rPr>
        <w:t>26.1评委会根据本招标文件规定评分办法与评分标准确定中标人；</w:t>
      </w:r>
    </w:p>
    <w:p>
      <w:pPr>
        <w:pStyle w:val="40"/>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40"/>
        <w:rPr>
          <w:rFonts w:ascii="宋体" w:hAnsi="宋体" w:cs="宋体"/>
        </w:rPr>
      </w:pPr>
      <w:r>
        <w:rPr>
          <w:rFonts w:hint="eastAsia" w:ascii="宋体" w:hAnsi="宋体" w:cs="宋体"/>
        </w:rPr>
        <w:t>2</w:t>
      </w:r>
      <w:bookmarkStart w:id="148" w:name="OLE_LINK4"/>
      <w:bookmarkStart w:id="149" w:name="OLE_LINK3"/>
      <w:bookmarkStart w:id="150" w:name="OLE_LINK6"/>
      <w:bookmarkStart w:id="151" w:name="OLE_LINK5"/>
      <w:bookmarkStart w:id="152" w:name="OLE_LINK8"/>
      <w:bookmarkStart w:id="153" w:name="OLE_LINK7"/>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40"/>
        <w:rPr>
          <w:rFonts w:ascii="宋体" w:hAnsi="宋体" w:cs="宋体"/>
        </w:rPr>
      </w:pPr>
      <w:r>
        <w:rPr>
          <w:rFonts w:hint="eastAsia" w:ascii="宋体" w:hAnsi="宋体" w:cs="宋体"/>
        </w:rPr>
        <w:t>（1）提供虚假材料谋取中标的；</w:t>
      </w:r>
    </w:p>
    <w:p>
      <w:pPr>
        <w:pStyle w:val="40"/>
        <w:rPr>
          <w:rFonts w:ascii="宋体" w:hAnsi="宋体" w:cs="宋体"/>
        </w:rPr>
      </w:pPr>
      <w:r>
        <w:rPr>
          <w:rFonts w:hint="eastAsia" w:ascii="宋体" w:hAnsi="宋体" w:cs="宋体"/>
        </w:rPr>
        <w:t>（2）向采购人、评审专家行贿或者提供其他不正当利益的；</w:t>
      </w:r>
    </w:p>
    <w:p>
      <w:pPr>
        <w:pStyle w:val="40"/>
        <w:rPr>
          <w:rFonts w:ascii="宋体" w:hAnsi="宋体" w:cs="宋体"/>
        </w:rPr>
      </w:pPr>
      <w:r>
        <w:rPr>
          <w:rFonts w:hint="eastAsia" w:ascii="宋体" w:hAnsi="宋体" w:cs="宋体"/>
        </w:rPr>
        <w:t>（3）恶意竞争，投标总报价明显低于其自身合理成本且又无法提供证明的；</w:t>
      </w:r>
    </w:p>
    <w:p>
      <w:pPr>
        <w:pStyle w:val="40"/>
        <w:rPr>
          <w:rFonts w:ascii="宋体" w:hAnsi="宋体" w:cs="宋体"/>
        </w:rPr>
      </w:pPr>
      <w:r>
        <w:rPr>
          <w:rFonts w:hint="eastAsia" w:ascii="宋体" w:hAnsi="宋体" w:cs="宋体"/>
        </w:rPr>
        <w:t>（4）属于本文件规定的无效条件，但在评标过程中又未被评委会发现的；</w:t>
      </w:r>
    </w:p>
    <w:p>
      <w:pPr>
        <w:pStyle w:val="40"/>
        <w:rPr>
          <w:rFonts w:ascii="宋体" w:hAnsi="宋体" w:cs="宋体"/>
        </w:rPr>
      </w:pPr>
      <w:r>
        <w:rPr>
          <w:rFonts w:hint="eastAsia" w:ascii="宋体" w:hAnsi="宋体" w:cs="宋体"/>
        </w:rPr>
        <w:t>（5）与采购人或者其他供应商恶意串通的；</w:t>
      </w:r>
    </w:p>
    <w:p>
      <w:pPr>
        <w:pStyle w:val="40"/>
        <w:rPr>
          <w:rFonts w:ascii="宋体" w:hAnsi="宋体" w:cs="宋体"/>
        </w:rPr>
      </w:pPr>
      <w:r>
        <w:rPr>
          <w:rFonts w:hint="eastAsia" w:ascii="宋体" w:hAnsi="宋体" w:cs="宋体"/>
        </w:rPr>
        <w:t>（6）采取不正当手段诋毁、排挤其他供应商的；</w:t>
      </w:r>
    </w:p>
    <w:p>
      <w:pPr>
        <w:pStyle w:val="40"/>
        <w:rPr>
          <w:rFonts w:ascii="宋体" w:hAnsi="宋体" w:cs="宋体"/>
        </w:rPr>
      </w:pPr>
      <w:r>
        <w:rPr>
          <w:rFonts w:hint="eastAsia" w:ascii="宋体" w:hAnsi="宋体" w:cs="宋体"/>
        </w:rPr>
        <w:t>（7）不符合法律、法规的规定的。</w:t>
      </w:r>
      <w:bookmarkStart w:id="154" w:name="_Toc200451960"/>
    </w:p>
    <w:p>
      <w:pPr>
        <w:pStyle w:val="40"/>
        <w:rPr>
          <w:rFonts w:ascii="宋体" w:hAnsi="宋体" w:cs="宋体"/>
        </w:rPr>
      </w:pPr>
      <w:r>
        <w:rPr>
          <w:rFonts w:hint="eastAsia" w:ascii="宋体" w:hAnsi="宋体" w:cs="宋体"/>
        </w:rPr>
        <w:t>26.4 有下列情形之一的，视为投标人串通投标，投标无效：</w:t>
      </w:r>
    </w:p>
    <w:p>
      <w:pPr>
        <w:pStyle w:val="40"/>
        <w:rPr>
          <w:rFonts w:ascii="宋体" w:hAnsi="宋体" w:cs="宋体"/>
        </w:rPr>
      </w:pPr>
      <w:r>
        <w:rPr>
          <w:rFonts w:hint="eastAsia" w:ascii="宋体" w:hAnsi="宋体" w:cs="宋体"/>
        </w:rPr>
        <w:t>（1）不同投标人的投标文件由同一单位或者个人编制；</w:t>
      </w:r>
    </w:p>
    <w:p>
      <w:pPr>
        <w:pStyle w:val="40"/>
        <w:rPr>
          <w:rFonts w:ascii="宋体" w:hAnsi="宋体" w:cs="宋体"/>
        </w:rPr>
      </w:pPr>
      <w:r>
        <w:rPr>
          <w:rFonts w:hint="eastAsia" w:ascii="宋体" w:hAnsi="宋体" w:cs="宋体"/>
        </w:rPr>
        <w:t>（2）不同投标人委托同一单位或者个人办理投标事宜；</w:t>
      </w:r>
    </w:p>
    <w:p>
      <w:pPr>
        <w:pStyle w:val="40"/>
        <w:rPr>
          <w:rFonts w:ascii="宋体" w:hAnsi="宋体" w:cs="宋体"/>
        </w:rPr>
      </w:pPr>
      <w:r>
        <w:rPr>
          <w:rFonts w:hint="eastAsia" w:ascii="宋体" w:hAnsi="宋体" w:cs="宋体"/>
        </w:rPr>
        <w:t>（3） 不同投标人的投标文件载明的项目管理成员或者联系人员为同一人；</w:t>
      </w:r>
    </w:p>
    <w:p>
      <w:pPr>
        <w:pStyle w:val="40"/>
        <w:rPr>
          <w:rFonts w:ascii="宋体" w:hAnsi="宋体" w:cs="宋体"/>
        </w:rPr>
      </w:pPr>
      <w:r>
        <w:rPr>
          <w:rFonts w:hint="eastAsia" w:ascii="宋体" w:hAnsi="宋体" w:cs="宋体"/>
        </w:rPr>
        <w:t>（4）不同投标人的投标文件异常一致或者投标报价呈规律性差异；</w:t>
      </w:r>
    </w:p>
    <w:p>
      <w:pPr>
        <w:pStyle w:val="40"/>
        <w:rPr>
          <w:rFonts w:ascii="宋体" w:hAnsi="宋体" w:cs="宋体"/>
        </w:rPr>
      </w:pPr>
      <w:r>
        <w:rPr>
          <w:rFonts w:hint="eastAsia" w:ascii="宋体" w:hAnsi="宋体" w:cs="宋体"/>
        </w:rPr>
        <w:t>（5）不同投标人的投标文件相互混装；</w:t>
      </w:r>
    </w:p>
    <w:p>
      <w:pPr>
        <w:pStyle w:val="40"/>
        <w:rPr>
          <w:rFonts w:ascii="宋体" w:hAnsi="宋体" w:cs="宋体"/>
        </w:rPr>
      </w:pPr>
      <w:r>
        <w:rPr>
          <w:rFonts w:hint="eastAsia" w:ascii="宋体" w:hAnsi="宋体" w:cs="宋体"/>
        </w:rPr>
        <w:t>（6）不同投标人的投标保证金从同一单位或者个人的账户转出。</w:t>
      </w:r>
    </w:p>
    <w:p>
      <w:pPr>
        <w:pStyle w:val="40"/>
        <w:rPr>
          <w:rFonts w:ascii="宋体" w:hAnsi="宋体" w:cs="宋体"/>
          <w:b/>
        </w:rPr>
      </w:pPr>
      <w:r>
        <w:rPr>
          <w:rFonts w:hint="eastAsia" w:ascii="宋体" w:hAnsi="宋体" w:cs="宋体"/>
          <w:b/>
        </w:rPr>
        <w:t>27.质疑处理</w:t>
      </w:r>
      <w:bookmarkEnd w:id="154"/>
    </w:p>
    <w:p>
      <w:pPr>
        <w:pStyle w:val="40"/>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40"/>
        <w:rPr>
          <w:rFonts w:ascii="宋体" w:hAnsi="宋体" w:cs="宋体"/>
          <w:b/>
        </w:rPr>
      </w:pPr>
      <w:r>
        <w:rPr>
          <w:rFonts w:hint="eastAsia" w:ascii="宋体" w:hAnsi="宋体" w:cs="宋体"/>
          <w:b/>
        </w:rPr>
        <w:t>28.中标通知书</w:t>
      </w:r>
    </w:p>
    <w:p>
      <w:pPr>
        <w:pStyle w:val="40"/>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40"/>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40"/>
        <w:rPr>
          <w:rFonts w:ascii="宋体" w:hAnsi="宋体" w:cs="宋体"/>
          <w:b/>
        </w:rPr>
      </w:pPr>
      <w:bookmarkStart w:id="155" w:name="_Toc517190888"/>
      <w:bookmarkStart w:id="156" w:name="_Toc120614220"/>
      <w:bookmarkStart w:id="157" w:name="_Toc16938552"/>
      <w:bookmarkStart w:id="158" w:name="_Toc20823308"/>
      <w:bookmarkStart w:id="159" w:name="_Toc513029236"/>
      <w:r>
        <w:rPr>
          <w:rFonts w:hint="eastAsia" w:ascii="宋体" w:hAnsi="宋体" w:cs="宋体"/>
          <w:b/>
        </w:rPr>
        <w:t>七、授予合同</w:t>
      </w:r>
      <w:bookmarkEnd w:id="155"/>
      <w:bookmarkEnd w:id="156"/>
    </w:p>
    <w:bookmarkEnd w:id="157"/>
    <w:bookmarkEnd w:id="158"/>
    <w:bookmarkEnd w:id="159"/>
    <w:p>
      <w:pPr>
        <w:pStyle w:val="40"/>
        <w:rPr>
          <w:rFonts w:ascii="宋体" w:hAnsi="宋体" w:cs="宋体"/>
          <w:b/>
        </w:rPr>
      </w:pPr>
      <w:bookmarkStart w:id="160" w:name="_Toc16938553"/>
      <w:bookmarkStart w:id="161" w:name="_Toc513029237"/>
      <w:bookmarkStart w:id="162" w:name="_Toc20823309"/>
      <w:r>
        <w:rPr>
          <w:rFonts w:hint="eastAsia" w:ascii="宋体" w:hAnsi="宋体" w:cs="宋体"/>
          <w:b/>
        </w:rPr>
        <w:t>29. 签订合同</w:t>
      </w:r>
    </w:p>
    <w:p>
      <w:pPr>
        <w:pStyle w:val="40"/>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40"/>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40"/>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40"/>
        <w:rPr>
          <w:rFonts w:ascii="宋体" w:hAnsi="宋体" w:cs="宋体"/>
          <w:b/>
        </w:rPr>
      </w:pPr>
      <w:bookmarkStart w:id="163" w:name="_Toc517190889"/>
      <w:r>
        <w:rPr>
          <w:rFonts w:hint="eastAsia" w:ascii="宋体" w:hAnsi="宋体" w:cs="宋体"/>
          <w:b/>
        </w:rPr>
        <w:t>八、其他</w:t>
      </w:r>
      <w:bookmarkEnd w:id="163"/>
    </w:p>
    <w:p>
      <w:pPr>
        <w:pStyle w:val="40"/>
        <w:rPr>
          <w:rFonts w:ascii="宋体" w:hAnsi="宋体" w:cs="宋体"/>
          <w:b/>
        </w:rPr>
      </w:pPr>
      <w:r>
        <w:rPr>
          <w:rFonts w:hint="eastAsia" w:ascii="宋体" w:hAnsi="宋体" w:cs="宋体"/>
          <w:b/>
        </w:rPr>
        <w:t>30.样品</w:t>
      </w:r>
    </w:p>
    <w:p>
      <w:pPr>
        <w:pStyle w:val="40"/>
        <w:rPr>
          <w:rFonts w:ascii="宋体" w:hAnsi="宋体" w:cs="宋体"/>
        </w:rPr>
      </w:pPr>
      <w:r>
        <w:rPr>
          <w:rFonts w:hint="eastAsia" w:ascii="宋体" w:hAnsi="宋体" w:cs="宋体"/>
          <w:bCs/>
        </w:rPr>
        <w:t>项目要求提供样品的，中标人的样品由采购人负责保管、封存，并作为履约验收的参考。未中标人的样品将及时退还。(本次招标无样品）</w:t>
      </w:r>
    </w:p>
    <w:p>
      <w:pPr>
        <w:numPr>
          <w:ilvl w:val="0"/>
          <w:numId w:val="2"/>
        </w:numPr>
        <w:jc w:val="center"/>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项目需求</w:t>
      </w:r>
      <w:bookmarkEnd w:id="164"/>
    </w:p>
    <w:p>
      <w:pPr>
        <w:ind w:firstLine="241" w:firstLineChars="100"/>
        <w:rPr>
          <w:rFonts w:asciiTheme="minorEastAsia" w:hAnsiTheme="minorEastAsia" w:eastAsiaTheme="minorEastAsia"/>
          <w:b/>
          <w:sz w:val="44"/>
          <w:szCs w:val="44"/>
        </w:rPr>
      </w:pPr>
      <w:r>
        <w:rPr>
          <w:rFonts w:hint="eastAsia" w:asciiTheme="minorEastAsia" w:hAnsiTheme="minorEastAsia" w:eastAsiaTheme="minorEastAsia"/>
          <w:b/>
          <w:bCs/>
          <w:sz w:val="24"/>
          <w:szCs w:val="24"/>
        </w:rPr>
        <w:t>一、参数要求</w:t>
      </w:r>
    </w:p>
    <w:tbl>
      <w:tblPr>
        <w:tblStyle w:val="20"/>
        <w:tblW w:w="9860" w:type="dxa"/>
        <w:jc w:val="center"/>
        <w:tblLayout w:type="autofit"/>
        <w:tblCellMar>
          <w:top w:w="0" w:type="dxa"/>
          <w:left w:w="108" w:type="dxa"/>
          <w:bottom w:w="0" w:type="dxa"/>
          <w:right w:w="108" w:type="dxa"/>
        </w:tblCellMar>
      </w:tblPr>
      <w:tblGrid>
        <w:gridCol w:w="640"/>
        <w:gridCol w:w="1210"/>
        <w:gridCol w:w="8010"/>
      </w:tblGrid>
      <w:tr>
        <w:tblPrEx>
          <w:tblCellMar>
            <w:top w:w="0" w:type="dxa"/>
            <w:left w:w="108" w:type="dxa"/>
            <w:bottom w:w="0" w:type="dxa"/>
            <w:right w:w="108" w:type="dxa"/>
          </w:tblCellMar>
        </w:tblPrEx>
        <w:trPr>
          <w:trHeight w:val="66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序号</w:t>
            </w:r>
          </w:p>
        </w:tc>
        <w:tc>
          <w:tcPr>
            <w:tcW w:w="1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产品名称</w:t>
            </w:r>
          </w:p>
        </w:tc>
        <w:tc>
          <w:tcPr>
            <w:tcW w:w="8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参数</w:t>
            </w:r>
          </w:p>
        </w:tc>
      </w:tr>
      <w:tr>
        <w:tblPrEx>
          <w:tblCellMar>
            <w:top w:w="0" w:type="dxa"/>
            <w:left w:w="108" w:type="dxa"/>
            <w:bottom w:w="0" w:type="dxa"/>
            <w:right w:w="108" w:type="dxa"/>
          </w:tblCellMar>
        </w:tblPrEx>
        <w:trPr>
          <w:trHeight w:val="577"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等线" w:hAnsi="等线" w:eastAsia="等线" w:cs="等线"/>
                <w:color w:val="000000"/>
              </w:rPr>
            </w:pPr>
            <w:r>
              <w:rPr>
                <w:rFonts w:hint="eastAsia" w:ascii="等线" w:hAnsi="等线" w:eastAsia="等线" w:cs="等线"/>
                <w:color w:val="000000"/>
              </w:rPr>
              <w:t>1</w:t>
            </w:r>
          </w:p>
        </w:tc>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等线" w:hAnsi="等线" w:eastAsia="等线" w:cs="等线"/>
                <w:color w:val="000000"/>
              </w:rPr>
            </w:pPr>
            <w:r>
              <w:rPr>
                <w:rFonts w:hint="eastAsia" w:ascii="等线" w:hAnsi="等线" w:eastAsia="等线" w:cs="等线"/>
                <w:color w:val="000000"/>
              </w:rPr>
              <w:t>多功能组合柜</w:t>
            </w:r>
          </w:p>
        </w:tc>
        <w:tc>
          <w:tcPr>
            <w:tcW w:w="8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textAlignment w:val="center"/>
              <w:rPr>
                <w:rFonts w:ascii="宋体" w:hAnsi="宋体" w:eastAsia="宋体" w:cs="宋体"/>
                <w:color w:val="000000"/>
              </w:rPr>
            </w:pPr>
            <w:r>
              <w:rPr>
                <w:rFonts w:hint="eastAsia" w:ascii="宋体" w:hAnsi="宋体" w:eastAsia="宋体" w:cs="宋体"/>
                <w:color w:val="000000"/>
              </w:rPr>
              <w:t>外形尺寸：H1840*W640*D530mm（±2%）。</w:t>
            </w:r>
          </w:p>
          <w:p>
            <w:pPr>
              <w:numPr>
                <w:ilvl w:val="0"/>
                <w:numId w:val="3"/>
              </w:numPr>
              <w:textAlignment w:val="center"/>
              <w:rPr>
                <w:rFonts w:ascii="宋体" w:hAnsi="宋体" w:eastAsia="宋体" w:cs="宋体"/>
                <w:color w:val="000000"/>
              </w:rPr>
            </w:pPr>
            <w:r>
              <w:rPr>
                <w:rFonts w:hint="eastAsia" w:ascii="宋体" w:hAnsi="宋体" w:eastAsia="宋体" w:cs="宋体"/>
                <w:color w:val="000000"/>
              </w:rPr>
              <w:t>柜体和门板均由双层1.0 mm冷轧钢板通过折边焊接构造整体成型，柜体表面无焊缝，两层钢板之间相隔净尺寸不小于38mm，形成良好的防火绝缘层，柜体填充具有保温隔热作用的防火材料（▲响应文件须提供取得CMA或CNAS认证的检测机构出具的整柜不小于30分钟耐火检测报告，检测报告中需体现检测过程中防火柜内热电偶位置图、炉内温度/时间曲线图、热电偶温升/时间曲线图、检测前后样品比对照片等。耐火检测报告可通过二维码或检测机构官网查询报告证伪。同时投标单位需提供CMA或CNAS出具给该检测机构的具备耐火性能检测能力证明材料）。</w:t>
            </w:r>
          </w:p>
          <w:p>
            <w:pPr>
              <w:textAlignment w:val="center"/>
              <w:rPr>
                <w:rFonts w:ascii="宋体" w:hAnsi="宋体" w:eastAsia="宋体" w:cs="宋体"/>
                <w:color w:val="000000"/>
              </w:rPr>
            </w:pPr>
            <w:r>
              <w:rPr>
                <w:rFonts w:hint="eastAsia" w:ascii="宋体" w:hAnsi="宋体" w:eastAsia="宋体" w:cs="宋体"/>
                <w:color w:val="000000"/>
              </w:rPr>
              <w:t>3、每台产品配置4个独立空间，第一层内衬为PP材质，其中PP板阻燃级别达到V-0等级，依据GB/T 24282-2021进行二甲苯可溶物含量检测，检测结果须为未检出。（★响应文件须提供具有CMA或CNAS认证标志的第三方检测机构出具的 PP 板材检测报告复印件加盖投标人公章，报告须同时满足以上参数中的阻燃级别和二甲苯可溶物含量检测要求，报告能通过报告上的二维码或者检测机构网址查询，现场查验真伪，不满足的视为响应无效）。第二、三层为钢制结构，层板承载面采用加固设计，单块层板的承载量不小于100kg，（▲投标须提供第三方权威检测机构出具的钢制层板承重检测报告）。层板上配备PP材质托盘一块。第四层为两个钢制抽屉，每个抽屉内可储存不少于15瓶500毫升试剂。</w:t>
            </w:r>
          </w:p>
          <w:p>
            <w:pPr>
              <w:textAlignment w:val="center"/>
              <w:rPr>
                <w:rFonts w:ascii="宋体" w:hAnsi="宋体" w:eastAsia="宋体" w:cs="宋体"/>
                <w:color w:val="000000"/>
              </w:rPr>
            </w:pPr>
            <w:r>
              <w:rPr>
                <w:rFonts w:hint="eastAsia" w:ascii="宋体" w:hAnsi="宋体" w:eastAsia="宋体" w:cs="宋体"/>
                <w:color w:val="000000"/>
              </w:rPr>
              <w:t>4、每个独立空间内均配备独立的通风装置有效降低挥发性物质浓度，预防火灾产生。</w:t>
            </w:r>
          </w:p>
          <w:p>
            <w:pPr>
              <w:textAlignment w:val="center"/>
              <w:rPr>
                <w:rFonts w:ascii="宋体" w:hAnsi="宋体" w:eastAsia="宋体" w:cs="宋体"/>
                <w:color w:val="000000"/>
              </w:rPr>
            </w:pPr>
            <w:r>
              <w:rPr>
                <w:rFonts w:hint="eastAsia" w:ascii="宋体" w:hAnsi="宋体" w:eastAsia="宋体" w:cs="宋体"/>
                <w:color w:val="000000"/>
              </w:rPr>
              <w:t>5、柜体表面经酸洗磷化，采用耐腐蚀型环氧树脂粉末喷涂，烘热固化处理，产品依 照 GB/T 10125-2021 进行盐雾试验 ，依照 GB/T6461-2002 金属基体上和其他无机覆盖层经腐蚀试验，报告结果防盐雾腐蚀保护等级不低于 10 级，外观评价 A 级（★响应文件须提供具有CMA或CNAS认证标志的第三方检测机构出具的整柜盐雾试验检测报告扫描件，报告满足以上参数要求，检测结果保护等级不低于10级，外观评级不低于A级，不满足的视为响应无效）。</w:t>
            </w:r>
          </w:p>
          <w:p>
            <w:pPr>
              <w:textAlignment w:val="center"/>
              <w:rPr>
                <w:rFonts w:ascii="宋体" w:hAnsi="宋体" w:eastAsia="宋体" w:cs="宋体"/>
                <w:color w:val="000000"/>
              </w:rPr>
            </w:pPr>
            <w:r>
              <w:rPr>
                <w:rFonts w:hint="eastAsia" w:ascii="宋体" w:hAnsi="宋体" w:eastAsia="宋体" w:cs="宋体"/>
                <w:color w:val="000000"/>
              </w:rPr>
              <w:t>6、整柜需具备抗爆功能：依照GA871-2010进行抗爆检测，内爆试验柜体可抵抗不小于5g当量TNT爆炸冲击波，柜体外表面完好，未见明显变形及破损，试验后柜门未被冲开，能正常开闭。外爆试验柜体可抵抗不小于10g当量TNT爆炸冲击波，柜体未见明显变形及破损，试验后柜门未被冲开，能正常开闭。柜体内部中央放置的化学品试剂瓶及定量瓶完好，未破损及倾倒。（▲投标须提供同类型产品CNAS或CMA认证的国家级检测机构出具的同类型整柜的抗爆检验报告，检验报告中需体现检测过程图片，包含但不限于TNT当量爆炸物外形及放入化学品柜中情况图、内爆检验现场布置图、内爆炸后柜体内部状态图、外爆后柜体外观状态图、外爆后柜体内部试剂瓶状态图）。</w:t>
            </w:r>
          </w:p>
          <w:p>
            <w:pPr>
              <w:textAlignment w:val="center"/>
              <w:rPr>
                <w:rFonts w:ascii="宋体" w:hAnsi="宋体" w:eastAsia="宋体" w:cs="宋体"/>
                <w:color w:val="000000"/>
              </w:rPr>
            </w:pPr>
            <w:r>
              <w:rPr>
                <w:rFonts w:hint="eastAsia" w:ascii="宋体" w:hAnsi="宋体" w:eastAsia="宋体" w:cs="宋体"/>
                <w:color w:val="000000"/>
              </w:rPr>
              <w:t>7、双机械锁配置，锁具符合GA/T 73标准。（★投标须提供第三方权威检测机构出具的锁具检测报告）</w:t>
            </w:r>
          </w:p>
          <w:p>
            <w:pPr>
              <w:textAlignment w:val="center"/>
              <w:rPr>
                <w:rFonts w:ascii="宋体" w:hAnsi="宋体" w:eastAsia="宋体" w:cs="宋体"/>
                <w:color w:val="000000"/>
              </w:rPr>
            </w:pPr>
            <w:r>
              <w:rPr>
                <w:rFonts w:hint="eastAsia" w:ascii="宋体" w:hAnsi="宋体" w:eastAsia="宋体" w:cs="宋体"/>
                <w:color w:val="000000"/>
              </w:rPr>
              <w:t>8、配置静电泄放装置，将静电荷导入大地，降低静电火花造成火灾风险；</w:t>
            </w:r>
          </w:p>
          <w:p>
            <w:pPr>
              <w:textAlignment w:val="center"/>
              <w:rPr>
                <w:rFonts w:ascii="宋体" w:hAnsi="宋体" w:eastAsia="宋体" w:cs="宋体"/>
                <w:color w:val="000000"/>
              </w:rPr>
            </w:pPr>
            <w:r>
              <w:rPr>
                <w:rFonts w:hint="eastAsia" w:ascii="宋体" w:hAnsi="宋体" w:eastAsia="宋体" w:cs="宋体"/>
                <w:color w:val="000000"/>
              </w:rPr>
              <w:t>9、采用手动单开门设计，为确保安全柜防火防爆性能，门缝不得大于3mm，且门缝上下大小一致，左右门的高度必须一致。</w:t>
            </w:r>
          </w:p>
        </w:tc>
      </w:tr>
      <w:tr>
        <w:tblPrEx>
          <w:tblCellMar>
            <w:top w:w="0" w:type="dxa"/>
            <w:left w:w="108" w:type="dxa"/>
            <w:bottom w:w="0" w:type="dxa"/>
            <w:right w:w="108" w:type="dxa"/>
          </w:tblCellMar>
        </w:tblPrEx>
        <w:trPr>
          <w:trHeight w:val="57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77"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2189"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等线" w:hAnsi="等线" w:eastAsia="等线" w:cs="等线"/>
                <w:color w:val="000000"/>
              </w:rPr>
            </w:pPr>
          </w:p>
        </w:tc>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等线" w:hAnsi="等线" w:eastAsia="等线" w:cs="等线"/>
                <w:color w:val="000000"/>
              </w:rPr>
            </w:pPr>
          </w:p>
        </w:tc>
        <w:tc>
          <w:tcPr>
            <w:tcW w:w="8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rPr>
            </w:pPr>
          </w:p>
        </w:tc>
      </w:tr>
    </w:tbl>
    <w:p>
      <w:pPr>
        <w:pStyle w:val="44"/>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br w:type="textWrapping"/>
      </w:r>
      <w:r>
        <w:rPr>
          <w:rFonts w:hint="eastAsia" w:asciiTheme="minorEastAsia" w:hAnsiTheme="minorEastAsia" w:eastAsiaTheme="minorEastAsia"/>
          <w:b/>
          <w:bCs/>
          <w:sz w:val="24"/>
          <w:szCs w:val="24"/>
        </w:rPr>
        <w:t xml:space="preserve">   二、服务要求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1.免费质保期：本次招标设备质保期1年。</w:t>
      </w:r>
    </w:p>
    <w:p>
      <w:pPr>
        <w:pStyle w:val="40"/>
        <w:rPr>
          <w:rFonts w:ascii="宋体" w:hAnsi="宋体" w:cs="宋体"/>
        </w:rPr>
      </w:pPr>
      <w:r>
        <w:rPr>
          <w:rFonts w:hint="eastAsia" w:asciiTheme="minorEastAsia" w:hAnsiTheme="minorEastAsia" w:eastAsiaTheme="minorEastAsia"/>
          <w:bCs/>
        </w:rPr>
        <w:t xml:space="preserve">2.培训： </w:t>
      </w:r>
      <w:r>
        <w:rPr>
          <w:rFonts w:hint="eastAsia" w:ascii="宋体" w:hAnsi="宋体" w:cs="宋体"/>
        </w:rPr>
        <w:t>供应商应为采购方进行人员培训，提供每年不少于1次的设备操作培训，对人员培训不低于2人。</w:t>
      </w:r>
    </w:p>
    <w:p>
      <w:pPr>
        <w:spacing w:line="360" w:lineRule="auto"/>
        <w:ind w:firstLine="480" w:firstLineChars="200"/>
        <w:rPr>
          <w:rFonts w:asciiTheme="minorEastAsia" w:hAnsiTheme="minorEastAsia"/>
          <w:bCs/>
          <w:sz w:val="24"/>
          <w:szCs w:val="24"/>
        </w:rPr>
      </w:pPr>
      <w:r>
        <w:rPr>
          <w:rFonts w:hint="eastAsia" w:asciiTheme="minorEastAsia" w:hAnsiTheme="minorEastAsia" w:eastAsiaTheme="minorEastAsia"/>
          <w:bCs/>
          <w:sz w:val="24"/>
          <w:szCs w:val="24"/>
        </w:rPr>
        <w:t>3.响应时间：</w:t>
      </w:r>
      <w:r>
        <w:rPr>
          <w:rFonts w:hint="eastAsia"/>
        </w:rPr>
        <w:t>在24小时内提供现场服务。</w:t>
      </w: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三、安装要求</w:t>
      </w:r>
    </w:p>
    <w:p>
      <w:pPr>
        <w:pStyle w:val="40"/>
        <w:ind w:firstLineChars="200"/>
        <w:rPr>
          <w:rFonts w:ascii="宋体" w:hAnsi="宋体" w:cs="宋体"/>
          <w:sz w:val="28"/>
          <w:szCs w:val="28"/>
        </w:rPr>
      </w:pPr>
      <w:r>
        <w:rPr>
          <w:rFonts w:hint="eastAsia" w:asciiTheme="minorEastAsia" w:hAnsiTheme="minorEastAsia" w:eastAsiaTheme="minorEastAsia"/>
          <w:bCs/>
        </w:rPr>
        <w:t>1.</w:t>
      </w:r>
      <w:r>
        <w:rPr>
          <w:rFonts w:hint="eastAsia" w:ascii="宋体" w:hAnsi="宋体" w:cs="宋体"/>
        </w:rPr>
        <w:t>按照国家现行行业规范标准进行安装，符合国家或行业质量检验评定标准，没有行业标准的产品，投标人应提供相关制造商标准。</w:t>
      </w:r>
    </w:p>
    <w:p>
      <w:pPr>
        <w:pStyle w:val="40"/>
        <w:rPr>
          <w:rFonts w:ascii="宋体" w:hAnsi="宋体" w:cs="宋体"/>
        </w:rPr>
      </w:pPr>
      <w:r>
        <w:rPr>
          <w:rFonts w:hint="eastAsia" w:asciiTheme="minorEastAsia" w:hAnsiTheme="minorEastAsia" w:eastAsiaTheme="minorEastAsia"/>
          <w:bCs/>
        </w:rPr>
        <w:t>2.</w:t>
      </w:r>
      <w:r>
        <w:rPr>
          <w:rFonts w:hint="eastAsia" w:ascii="宋体" w:hAnsi="宋体" w:cs="宋体"/>
        </w:rPr>
        <w:t>设备安装调试：仪器到货后，卖方在接到通知的7个工作日内派人前往负责该设备的安装、调试和操作培训，直至达到各项验收指标合格。</w:t>
      </w: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交货期、交货方式及交货地点</w:t>
      </w:r>
    </w:p>
    <w:p>
      <w:pPr>
        <w:pStyle w:val="40"/>
        <w:rPr>
          <w:rFonts w:ascii="宋体" w:hAnsi="宋体" w:cs="宋体"/>
        </w:rPr>
      </w:pPr>
      <w:r>
        <w:rPr>
          <w:rFonts w:hint="eastAsia" w:asciiTheme="minorEastAsia" w:hAnsiTheme="minorEastAsia" w:eastAsiaTheme="minorEastAsia"/>
          <w:bCs/>
        </w:rPr>
        <w:t>1</w:t>
      </w:r>
      <w:r>
        <w:rPr>
          <w:rFonts w:asciiTheme="minorEastAsia" w:hAnsiTheme="minorEastAsia" w:eastAsiaTheme="minorEastAsia"/>
          <w:bCs/>
        </w:rPr>
        <w:t>. 交货期：</w:t>
      </w:r>
      <w:r>
        <w:rPr>
          <w:rFonts w:hint="eastAsia" w:ascii="宋体" w:hAnsi="宋体" w:cs="宋体"/>
        </w:rPr>
        <w:t>合同签订生效后， 7个工作日内完成供货、部署安装、系统调试、系统试运行等工作。</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 交货方式：</w:t>
      </w:r>
      <w:r>
        <w:rPr>
          <w:rFonts w:hint="eastAsia" w:asciiTheme="minorEastAsia" w:hAnsiTheme="minorEastAsia" w:eastAsiaTheme="minorEastAsia"/>
          <w:bCs/>
          <w:sz w:val="24"/>
          <w:szCs w:val="24"/>
        </w:rPr>
        <w:t>中标人在买方指定地点交货，并完成安装、验收。</w:t>
      </w:r>
    </w:p>
    <w:p>
      <w:pPr>
        <w:spacing w:line="360" w:lineRule="auto"/>
        <w:ind w:firstLine="480" w:firstLineChars="200"/>
        <w:rPr>
          <w:rFonts w:asciiTheme="minorEastAsia" w:hAnsiTheme="minorEastAsia" w:eastAsiaTheme="minorEastAsia"/>
          <w:b/>
          <w:bCs/>
          <w:sz w:val="24"/>
          <w:szCs w:val="24"/>
        </w:rPr>
      </w:pPr>
      <w:r>
        <w:rPr>
          <w:rFonts w:asciiTheme="minorEastAsia" w:hAnsiTheme="minorEastAsia" w:eastAsiaTheme="minorEastAsia"/>
          <w:bCs/>
          <w:sz w:val="24"/>
          <w:szCs w:val="24"/>
        </w:rPr>
        <w:t>3. 交货地点：</w:t>
      </w:r>
      <w:r>
        <w:rPr>
          <w:rFonts w:hint="eastAsia" w:asciiTheme="minorEastAsia" w:hAnsiTheme="minorEastAsia" w:eastAsiaTheme="minorEastAsia"/>
          <w:bCs/>
          <w:sz w:val="24"/>
          <w:szCs w:val="24"/>
        </w:rPr>
        <w:t>南京医科大学。</w:t>
      </w: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货款支付</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货到安装验收合格后一个月内支付合同全款，付款前需收到合同方提供的全额发票。</w:t>
      </w:r>
    </w:p>
    <w:p>
      <w:pPr>
        <w:pStyle w:val="2"/>
        <w:keepNext w:val="0"/>
        <w:keepLines/>
        <w:spacing w:line="360" w:lineRule="auto"/>
        <w:ind w:firstLine="883" w:firstLineChars="200"/>
        <w:rPr>
          <w:rFonts w:ascii="宋体" w:hAnsi="宋体" w:eastAsia="宋体"/>
          <w:b/>
          <w:bCs/>
          <w:sz w:val="44"/>
          <w:szCs w:val="44"/>
        </w:rPr>
      </w:pPr>
      <w:bookmarkStart w:id="165" w:name="_Toc401414769"/>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1767" w:firstLineChars="400"/>
        <w:jc w:val="both"/>
        <w:rPr>
          <w:rFonts w:ascii="宋体" w:hAnsi="宋体" w:eastAsia="宋体"/>
          <w:bCs/>
          <w:sz w:val="44"/>
          <w:szCs w:val="44"/>
        </w:rPr>
      </w:pPr>
      <w:bookmarkStart w:id="166" w:name="_Toc523931348"/>
      <w:r>
        <w:rPr>
          <w:rFonts w:hint="eastAsia" w:ascii="宋体" w:hAnsi="宋体" w:eastAsia="宋体"/>
          <w:b/>
          <w:bCs/>
          <w:sz w:val="44"/>
          <w:szCs w:val="44"/>
        </w:rPr>
        <w:t>第四章  评标方法与评标标准</w:t>
      </w:r>
      <w:bookmarkEnd w:id="1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40"/>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5"/>
    <w:tbl>
      <w:tblPr>
        <w:tblStyle w:val="20"/>
        <w:tblpPr w:leftFromText="180" w:rightFromText="180" w:vertAnchor="text" w:horzAnchor="page" w:tblpX="1689" w:tblpY="17"/>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017"/>
        <w:gridCol w:w="5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32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一、价格分值(30分)</w:t>
            </w:r>
          </w:p>
        </w:tc>
        <w:tc>
          <w:tcPr>
            <w:tcW w:w="57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满足招标文件要求且投标价格最低的投标报价为评标基准价，其价格分为30分。其他投标人的价格分统一按照下列公式计算：投标报价得分=(评标基准价／投标报价)×30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1273"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二、商务及技术( 45分 )</w:t>
            </w:r>
          </w:p>
        </w:tc>
        <w:tc>
          <w:tcPr>
            <w:tcW w:w="2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投标文件对</w:t>
            </w:r>
            <w:r>
              <w:rPr>
                <w:rFonts w:hint="eastAsia" w:ascii="宋体" w:hAnsi="宋体" w:eastAsia="宋体" w:cs="宋体"/>
                <w:color w:val="000000" w:themeColor="text1"/>
                <w:sz w:val="24"/>
                <w:szCs w:val="24"/>
                <w:lang w:val="zh-CN"/>
              </w:rPr>
              <w:t>商务</w:t>
            </w:r>
            <w:r>
              <w:rPr>
                <w:rFonts w:hint="eastAsia" w:ascii="宋体" w:hAnsi="宋体" w:eastAsia="宋体" w:cs="宋体"/>
                <w:color w:val="000000" w:themeColor="text1"/>
                <w:sz w:val="24"/>
                <w:szCs w:val="24"/>
              </w:rPr>
              <w:t>及技术需求响应情况（36分）</w:t>
            </w:r>
          </w:p>
        </w:tc>
        <w:tc>
          <w:tcPr>
            <w:tcW w:w="57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所购产品商务及技术参数响应情况占30分，具体由评委根据投标人的投标文件中产品情况、《投标分项报价表》、《技术参数偏离表》、《商务条款偏离表》等有关资料打分。其中：完全满足招标文件商务及技术参数要求的得30分；在此基础上，</w:t>
            </w:r>
            <w:r>
              <w:rPr>
                <w:rFonts w:hint="eastAsia" w:ascii="宋体" w:hAnsi="宋体" w:eastAsia="宋体" w:cs="宋体"/>
                <w:sz w:val="24"/>
                <w:szCs w:val="24"/>
              </w:rPr>
              <w:t>招标文件中标注“★”的内容为实质性要求，对这些实质要求参数负偏离的，每项</w:t>
            </w:r>
            <w:r>
              <w:rPr>
                <w:rStyle w:val="52"/>
                <w:rFonts w:hint="eastAsia" w:ascii="宋体" w:hAnsi="宋体" w:eastAsia="宋体" w:cs="宋体"/>
                <w:color w:val="000000"/>
                <w:sz w:val="24"/>
                <w:szCs w:val="24"/>
              </w:rPr>
              <w:t>扣9分，招标文件中标注“▲”的为重要参数，对这些重要参数负偏离的，则每项扣3分，扣完为止；其他非重要参数负偏离的，则每项扣1分，扣完为止。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273" w:type="dxa"/>
            <w:vMerge w:val="continue"/>
            <w:tcBorders>
              <w:left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c>
          <w:tcPr>
            <w:tcW w:w="2017" w:type="dxa"/>
            <w:tcBorders>
              <w:top w:val="single" w:color="auto" w:sz="4" w:space="0"/>
              <w:left w:val="single" w:color="auto" w:sz="4" w:space="0"/>
              <w:bottom w:val="single" w:color="auto" w:sz="4" w:space="0"/>
              <w:right w:val="single" w:color="auto" w:sz="4" w:space="0"/>
            </w:tcBorders>
            <w:vAlign w:val="center"/>
          </w:tcPr>
          <w:p>
            <w:pPr>
              <w:widowControl w:val="0"/>
              <w:snapToGrid/>
              <w:spacing w:after="0" w:line="440" w:lineRule="exact"/>
              <w:jc w:val="center"/>
              <w:textAlignment w:val="baseline"/>
              <w:rPr>
                <w:rFonts w:ascii="宋体" w:hAnsi="宋体" w:eastAsia="宋体" w:cs="宋体"/>
                <w:color w:val="000000"/>
                <w:sz w:val="21"/>
                <w:szCs w:val="21"/>
              </w:rPr>
            </w:pPr>
            <w:r>
              <w:rPr>
                <w:rStyle w:val="52"/>
                <w:rFonts w:hint="eastAsia" w:ascii="宋体" w:hAnsi="宋体" w:eastAsia="宋体" w:cs="宋体"/>
                <w:color w:val="000000"/>
                <w:sz w:val="24"/>
                <w:szCs w:val="24"/>
              </w:rPr>
              <w:t>产品安全性、先进性、匹配性、可靠性、稳定性（4分）</w:t>
            </w:r>
          </w:p>
        </w:tc>
        <w:tc>
          <w:tcPr>
            <w:tcW w:w="57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根据制造商提供的产品情况进行打分：</w:t>
            </w:r>
          </w:p>
          <w:p>
            <w:pPr>
              <w:rPr>
                <w:rFonts w:ascii="宋体" w:hAnsi="宋体" w:eastAsia="宋体" w:cs="宋体"/>
                <w:sz w:val="24"/>
                <w:szCs w:val="24"/>
              </w:rPr>
            </w:pPr>
            <w:r>
              <w:rPr>
                <w:rFonts w:hint="eastAsia" w:ascii="宋体" w:hAnsi="宋体" w:eastAsia="宋体" w:cs="宋体"/>
                <w:sz w:val="24"/>
                <w:szCs w:val="24"/>
              </w:rPr>
              <w:t>安全性高、易用性好、简便性强、先进性、扩展性、高效率、美观实用性高得4分；</w:t>
            </w:r>
          </w:p>
          <w:p>
            <w:pPr>
              <w:rPr>
                <w:rFonts w:ascii="宋体" w:hAnsi="宋体" w:eastAsia="宋体" w:cs="宋体"/>
                <w:sz w:val="24"/>
                <w:szCs w:val="24"/>
              </w:rPr>
            </w:pPr>
            <w:r>
              <w:rPr>
                <w:rFonts w:hint="eastAsia" w:ascii="宋体" w:hAnsi="宋体" w:eastAsia="宋体" w:cs="宋体"/>
                <w:sz w:val="24"/>
                <w:szCs w:val="24"/>
              </w:rPr>
              <w:t>安全性较高、易用性较好、简便性较强、先进性、扩展性较好得2分；</w:t>
            </w:r>
          </w:p>
          <w:p>
            <w:pPr>
              <w:rPr>
                <w:rFonts w:ascii="宋体" w:hAnsi="宋体" w:eastAsia="宋体" w:cs="宋体"/>
                <w:color w:val="000000" w:themeColor="text1"/>
                <w:sz w:val="24"/>
                <w:szCs w:val="24"/>
                <w:lang w:val="zh-CN"/>
              </w:rPr>
            </w:pPr>
            <w:r>
              <w:rPr>
                <w:rFonts w:hint="eastAsia" w:ascii="宋体" w:hAnsi="宋体" w:eastAsia="宋体" w:cs="宋体"/>
                <w:sz w:val="24"/>
                <w:szCs w:val="24"/>
              </w:rPr>
              <w:t>安全性一般、易用性、简便性、先进性、扩展性一般得1分；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73" w:type="dxa"/>
            <w:vMerge w:val="continue"/>
            <w:tcBorders>
              <w:left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c>
          <w:tcPr>
            <w:tcW w:w="2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综合实力</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（5分）</w:t>
            </w:r>
          </w:p>
        </w:tc>
        <w:tc>
          <w:tcPr>
            <w:tcW w:w="57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rPr>
            </w:pPr>
            <w:r>
              <w:rPr>
                <w:rFonts w:hint="eastAsia" w:ascii="宋体" w:hAnsi="宋体" w:eastAsia="宋体" w:cs="宋体"/>
                <w:sz w:val="24"/>
                <w:szCs w:val="24"/>
              </w:rPr>
              <w:t>1、</w:t>
            </w:r>
            <w:r>
              <w:rPr>
                <w:rFonts w:hint="eastAsia" w:ascii="宋体" w:hAnsi="宋体" w:eastAsia="宋体" w:cs="宋体"/>
                <w:color w:val="000000" w:themeColor="text1"/>
                <w:sz w:val="24"/>
                <w:szCs w:val="24"/>
              </w:rPr>
              <w:t>提供</w:t>
            </w:r>
            <w:r>
              <w:rPr>
                <w:rFonts w:hint="eastAsia" w:ascii="宋体" w:hAnsi="宋体" w:eastAsia="宋体" w:cs="宋体"/>
                <w:color w:val="000000" w:themeColor="text1"/>
                <w:sz w:val="24"/>
                <w:szCs w:val="24"/>
                <w:lang w:val="zh-CN"/>
              </w:rPr>
              <w:t xml:space="preserve">安全生产许可证得 </w:t>
            </w:r>
            <w:r>
              <w:rPr>
                <w:rFonts w:hint="eastAsia" w:ascii="宋体" w:hAnsi="宋体" w:eastAsia="宋体" w:cs="宋体"/>
                <w:color w:val="000000" w:themeColor="text1"/>
                <w:sz w:val="24"/>
                <w:szCs w:val="24"/>
              </w:rPr>
              <w:t>2</w:t>
            </w:r>
            <w:r>
              <w:rPr>
                <w:rFonts w:hint="eastAsia" w:ascii="宋体" w:hAnsi="宋体" w:eastAsia="宋体" w:cs="宋体"/>
                <w:color w:val="000000" w:themeColor="text1"/>
                <w:sz w:val="24"/>
                <w:szCs w:val="24"/>
                <w:lang w:val="zh-CN"/>
              </w:rPr>
              <w:t>分。</w:t>
            </w:r>
          </w:p>
          <w:p>
            <w:pPr>
              <w:pStyle w:val="11"/>
              <w:ind w:left="0" w:leftChars="0"/>
              <w:rPr>
                <w:rFonts w:ascii="宋体" w:hAnsi="宋体" w:eastAsia="宋体" w:cs="宋体"/>
                <w:sz w:val="24"/>
                <w:szCs w:val="24"/>
              </w:rPr>
            </w:pPr>
            <w:r>
              <w:rPr>
                <w:rFonts w:hint="eastAsia" w:ascii="宋体" w:hAnsi="宋体" w:eastAsia="宋体" w:cs="宋体"/>
                <w:sz w:val="24"/>
                <w:szCs w:val="24"/>
              </w:rPr>
              <w:t>2、提供机电安装三级及以上资质的得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273"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三、售后服务</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( 20分 )</w:t>
            </w:r>
          </w:p>
        </w:tc>
        <w:tc>
          <w:tcPr>
            <w:tcW w:w="20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售后服务</w:t>
            </w:r>
            <w:r>
              <w:rPr>
                <w:rFonts w:hint="eastAsia" w:ascii="宋体" w:hAnsi="宋体" w:eastAsia="宋体" w:cs="宋体"/>
                <w:color w:val="000000" w:themeColor="text1"/>
                <w:sz w:val="24"/>
                <w:szCs w:val="24"/>
              </w:rPr>
              <w:t>方案</w:t>
            </w:r>
          </w:p>
          <w:p>
            <w:pP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(5分)</w:t>
            </w:r>
          </w:p>
        </w:tc>
        <w:tc>
          <w:tcPr>
            <w:tcW w:w="57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sz w:val="24"/>
                <w:szCs w:val="24"/>
              </w:rPr>
            </w:pPr>
            <w:r>
              <w:rPr>
                <w:rFonts w:hint="eastAsia" w:ascii="宋体" w:hAnsi="宋体" w:eastAsia="宋体" w:cs="宋体"/>
                <w:sz w:val="24"/>
                <w:szCs w:val="24"/>
              </w:rPr>
              <w:t>1、</w:t>
            </w:r>
            <w:r>
              <w:rPr>
                <w:rFonts w:hint="eastAsia" w:ascii="宋体" w:hAnsi="宋体" w:eastAsia="宋体" w:cs="宋体"/>
                <w:color w:val="000000" w:themeColor="text1"/>
                <w:sz w:val="24"/>
                <w:szCs w:val="24"/>
              </w:rPr>
              <w:t>针对本项目制定详细的售后服务方案的得3分，视方案的完整性、可行性得分。完整可行得3分，基本完整可行得2分，欠缺得1分</w:t>
            </w:r>
          </w:p>
          <w:p>
            <w:pPr>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000000" w:themeColor="text1"/>
                <w:sz w:val="24"/>
                <w:szCs w:val="24"/>
              </w:rPr>
              <w:t>投标人承诺质保期满足采购需求的（1年）的得1分，每增加6个月得0.5分，最多得1分，满分2分。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7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c>
          <w:tcPr>
            <w:tcW w:w="2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培训方案</w:t>
            </w:r>
          </w:p>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（5分）</w:t>
            </w:r>
          </w:p>
        </w:tc>
        <w:tc>
          <w:tcPr>
            <w:tcW w:w="57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技术培训方案内容详细、全面、计划周全，完全满足本项目需求得5分；基本满足得3分；不满足得1分</w:t>
            </w:r>
          </w:p>
          <w:p>
            <w:pP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1273"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p>
        </w:tc>
        <w:tc>
          <w:tcPr>
            <w:tcW w:w="201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服务响应5分</w:t>
            </w:r>
          </w:p>
        </w:tc>
        <w:tc>
          <w:tcPr>
            <w:tcW w:w="577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2、投标人提供随时服务，零小时响应的</w:t>
            </w:r>
            <w:r>
              <w:rPr>
                <w:rFonts w:hint="eastAsia" w:ascii="宋体" w:hAnsi="宋体" w:eastAsia="宋体" w:cs="宋体"/>
                <w:sz w:val="24"/>
                <w:szCs w:val="24"/>
                <w:lang w:val="zh-CN"/>
              </w:rPr>
              <w:t>，</w:t>
            </w:r>
            <w:r>
              <w:rPr>
                <w:rFonts w:hint="eastAsia" w:ascii="宋体" w:hAnsi="宋体" w:eastAsia="宋体" w:cs="宋体"/>
                <w:sz w:val="24"/>
                <w:szCs w:val="24"/>
              </w:rPr>
              <w:t>提供2小时内响应服务的</w:t>
            </w:r>
            <w:r>
              <w:rPr>
                <w:rFonts w:hint="eastAsia" w:ascii="宋体" w:hAnsi="宋体" w:eastAsia="宋体" w:cs="宋体"/>
                <w:sz w:val="24"/>
                <w:szCs w:val="24"/>
                <w:lang w:val="zh-CN"/>
              </w:rPr>
              <w:t>，</w:t>
            </w:r>
            <w:r>
              <w:rPr>
                <w:rFonts w:hint="eastAsia" w:ascii="宋体" w:hAnsi="宋体" w:eastAsia="宋体" w:cs="宋体"/>
                <w:sz w:val="24"/>
                <w:szCs w:val="24"/>
              </w:rPr>
              <w:t>得5分，其他不得分，提供投标人售后服务承诺函。</w:t>
            </w:r>
          </w:p>
          <w:p>
            <w:pPr>
              <w:rPr>
                <w:rFonts w:ascii="宋体" w:hAnsi="宋体" w:eastAsia="宋体" w:cs="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329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四、业绩（ 10分 ）</w:t>
            </w:r>
          </w:p>
        </w:tc>
        <w:tc>
          <w:tcPr>
            <w:tcW w:w="57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2020年1月1日至今投标人类似案例（以合同</w:t>
            </w:r>
            <w:r>
              <w:rPr>
                <w:rFonts w:hint="eastAsia" w:ascii="宋体" w:hAnsi="宋体" w:eastAsia="宋体" w:cs="宋体"/>
                <w:bCs/>
                <w:color w:val="000000" w:themeColor="text1"/>
                <w:sz w:val="24"/>
                <w:szCs w:val="24"/>
              </w:rPr>
              <w:t>和验收报告</w:t>
            </w:r>
            <w:r>
              <w:rPr>
                <w:rFonts w:hint="eastAsia" w:ascii="宋体" w:hAnsi="宋体" w:eastAsia="宋体" w:cs="宋体"/>
                <w:color w:val="000000" w:themeColor="text1"/>
                <w:sz w:val="24"/>
                <w:szCs w:val="24"/>
              </w:rPr>
              <w:t>为准，合同以签订时间为准，提供合同复印件加盖公章，原件备查），提供一个得2分，最高10分。</w:t>
            </w:r>
          </w:p>
        </w:tc>
      </w:tr>
    </w:tbl>
    <w:p>
      <w:pPr>
        <w:pStyle w:val="40"/>
        <w:ind w:firstLine="560" w:firstLineChars="200"/>
        <w:rPr>
          <w:rFonts w:ascii="宋体" w:hAnsi="宋体" w:eastAsia="宋体"/>
          <w:b/>
          <w:bCs/>
          <w:sz w:val="44"/>
        </w:rPr>
      </w:pPr>
      <w:r>
        <w:rPr>
          <w:rFonts w:hint="eastAsia" w:asciiTheme="minorEastAsia" w:hAnsiTheme="minorEastAsia" w:eastAsiaTheme="minorEastAsia"/>
          <w:sz w:val="28"/>
          <w:szCs w:val="28"/>
        </w:rPr>
        <w:t xml:space="preserve">     </w:t>
      </w:r>
      <w:bookmarkStart w:id="167" w:name="_Toc523931349"/>
      <w:bookmarkStart w:id="182" w:name="_GoBack"/>
      <w:bookmarkEnd w:id="182"/>
      <w:r>
        <w:rPr>
          <w:rFonts w:hint="eastAsia" w:ascii="宋体" w:hAnsi="宋体" w:eastAsia="宋体"/>
          <w:b/>
          <w:bCs/>
          <w:sz w:val="44"/>
        </w:rPr>
        <w:t>第五章  投标文件格式</w:t>
      </w:r>
      <w:bookmarkEnd w:id="167"/>
      <w:r>
        <w:rPr>
          <w:rFonts w:hint="eastAsia" w:ascii="宋体" w:hAnsi="宋体" w:eastAsia="宋体"/>
          <w:b/>
          <w:bCs/>
          <w:sz w:val="44"/>
        </w:rPr>
        <w:t xml:space="preserve"> </w:t>
      </w:r>
    </w:p>
    <w:p>
      <w:pPr>
        <w:jc w:val="center"/>
        <w:rPr>
          <w:rFonts w:ascii="宋体" w:hAnsi="宋体"/>
          <w:b/>
          <w:sz w:val="72"/>
        </w:rPr>
      </w:pPr>
      <w:bookmarkStart w:id="168" w:name="_Hlt26671244"/>
      <w:bookmarkEnd w:id="168"/>
      <w:bookmarkStart w:id="169" w:name="_Hlt26955039"/>
      <w:bookmarkEnd w:id="169"/>
      <w:bookmarkStart w:id="170" w:name="_Toc49090576"/>
      <w:bookmarkStart w:id="171" w:name="_Toc26554094"/>
      <w:bookmarkStart w:id="172"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40"/>
        <w:ind w:firstLine="0"/>
        <w:jc w:val="center"/>
        <w:rPr>
          <w:rFonts w:ascii="宋体" w:hAnsi="宋体" w:cs="宋体"/>
          <w:b/>
        </w:rPr>
      </w:pPr>
      <w:bookmarkStart w:id="173" w:name="_Toc517190894"/>
      <w:r>
        <w:rPr>
          <w:rFonts w:hint="eastAsia" w:ascii="宋体" w:hAnsi="宋体" w:cs="宋体"/>
          <w:b/>
        </w:rPr>
        <w:t>投标函格式</w:t>
      </w:r>
      <w:bookmarkEnd w:id="173"/>
    </w:p>
    <w:p>
      <w:pPr>
        <w:pStyle w:val="40"/>
        <w:spacing w:before="0" w:after="0" w:line="420" w:lineRule="exact"/>
        <w:ind w:firstLine="0"/>
        <w:rPr>
          <w:rFonts w:ascii="宋体" w:hAnsi="宋体" w:cs="宋体"/>
          <w:kern w:val="2"/>
        </w:rPr>
      </w:pPr>
      <w:r>
        <w:rPr>
          <w:rFonts w:hint="eastAsia" w:ascii="宋体" w:hAnsi="宋体" w:cs="宋体"/>
          <w:kern w:val="2"/>
        </w:rPr>
        <w:t>致：南京医科大学</w:t>
      </w:r>
    </w:p>
    <w:p>
      <w:pPr>
        <w:pStyle w:val="40"/>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40"/>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40"/>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40"/>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40"/>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40"/>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40"/>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40"/>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40"/>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40"/>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40"/>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40"/>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40"/>
        <w:spacing w:before="0" w:after="0" w:line="420" w:lineRule="exact"/>
        <w:ind w:left="440" w:leftChars="200" w:firstLine="3000" w:firstLineChars="1250"/>
        <w:rPr>
          <w:rFonts w:ascii="宋体" w:hAnsi="宋体" w:cs="宋体"/>
          <w:kern w:val="2"/>
        </w:rPr>
      </w:pPr>
    </w:p>
    <w:p>
      <w:pPr>
        <w:pStyle w:val="40"/>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Lines="50"/>
        <w:rPr>
          <w:rFonts w:ascii="宋体" w:hAnsi="宋体" w:eastAsia="宋体" w:cs="宋体"/>
          <w:sz w:val="24"/>
          <w:szCs w:val="24"/>
        </w:rPr>
      </w:pPr>
    </w:p>
    <w:p>
      <w:pPr>
        <w:pStyle w:val="40"/>
        <w:ind w:firstLine="0"/>
        <w:jc w:val="center"/>
        <w:rPr>
          <w:rFonts w:ascii="宋体" w:hAnsi="宋体" w:cs="宋体"/>
          <w:b/>
        </w:rPr>
      </w:pPr>
      <w:bookmarkStart w:id="174" w:name="_Toc517190895"/>
    </w:p>
    <w:p>
      <w:pPr>
        <w:pStyle w:val="40"/>
        <w:ind w:firstLine="0"/>
        <w:jc w:val="center"/>
        <w:rPr>
          <w:rFonts w:ascii="宋体" w:hAnsi="宋体" w:cs="宋体"/>
          <w:b/>
        </w:rPr>
      </w:pPr>
      <w:r>
        <w:rPr>
          <w:rFonts w:hint="eastAsia" w:ascii="宋体" w:hAnsi="宋体" w:cs="宋体"/>
          <w:b/>
        </w:rPr>
        <w:t>法人授权书</w:t>
      </w:r>
      <w:bookmarkEnd w:id="174"/>
    </w:p>
    <w:p>
      <w:pPr>
        <w:pStyle w:val="50"/>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0"/>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50"/>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50"/>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50"/>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0"/>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0"/>
        <w:spacing w:line="360" w:lineRule="auto"/>
        <w:ind w:firstLine="480"/>
        <w:jc w:val="right"/>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法人签字：</w:t>
      </w:r>
    </w:p>
    <w:p>
      <w:pPr>
        <w:pStyle w:val="50"/>
        <w:spacing w:line="360" w:lineRule="auto"/>
        <w:ind w:firstLine="480"/>
        <w:rPr>
          <w:rFonts w:ascii="宋体" w:hAnsi="宋体" w:cs="宋体"/>
          <w:sz w:val="24"/>
          <w:szCs w:val="24"/>
        </w:rPr>
      </w:pPr>
      <w:r>
        <w:rPr>
          <w:rFonts w:hint="eastAsia" w:ascii="宋体" w:hAnsi="宋体" w:cs="宋体"/>
          <w:sz w:val="24"/>
          <w:szCs w:val="24"/>
        </w:rPr>
        <w:t>授权单位盖章：</w:t>
      </w: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rPr>
          <w:rFonts w:ascii="宋体" w:hAnsi="宋体" w:eastAsia="宋体" w:cs="宋体"/>
          <w:sz w:val="24"/>
          <w:szCs w:val="24"/>
        </w:rPr>
      </w:pPr>
      <w:bookmarkStart w:id="175" w:name="_Hlt26955070"/>
      <w:bookmarkEnd w:id="175"/>
      <w:bookmarkStart w:id="176" w:name="_Hlt26671380"/>
      <w:bookmarkEnd w:id="176"/>
      <w:bookmarkStart w:id="177" w:name="_格式3__银行出具的资信证明"/>
      <w:bookmarkEnd w:id="177"/>
    </w:p>
    <w:p>
      <w:pPr>
        <w:pStyle w:val="3"/>
        <w:rPr>
          <w:rFonts w:ascii="宋体" w:hAnsi="宋体" w:eastAsia="宋体" w:cs="宋体"/>
          <w:sz w:val="24"/>
          <w:szCs w:val="24"/>
        </w:rPr>
      </w:pPr>
    </w:p>
    <w:p>
      <w:pPr>
        <w:pStyle w:val="40"/>
        <w:pageBreakBefore/>
        <w:ind w:firstLine="0"/>
        <w:jc w:val="center"/>
        <w:rPr>
          <w:rFonts w:ascii="宋体" w:hAnsi="宋体" w:cs="宋体"/>
          <w:b/>
        </w:rPr>
      </w:pPr>
      <w:bookmarkStart w:id="178" w:name="_Toc517190896"/>
      <w:r>
        <w:rPr>
          <w:rFonts w:hint="eastAsia" w:ascii="宋体" w:hAnsi="宋体" w:cs="宋体"/>
          <w:b/>
        </w:rPr>
        <w:t>开标一览表</w:t>
      </w:r>
      <w:bookmarkEnd w:id="178"/>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8"/>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40"/>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8"/>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11"/>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40"/>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0"/>
    <w:bookmarkEnd w:id="171"/>
    <w:bookmarkEnd w:id="172"/>
    <w:p>
      <w:pPr>
        <w:jc w:val="center"/>
        <w:rPr>
          <w:rFonts w:ascii="宋体" w:hAnsi="宋体" w:eastAsia="宋体" w:cs="宋体"/>
          <w:b/>
          <w:sz w:val="24"/>
          <w:szCs w:val="24"/>
        </w:rPr>
      </w:pPr>
      <w:bookmarkStart w:id="179"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0" w:name="OLE_LINK9"/>
            <w:bookmarkStart w:id="181"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0"/>
      <w:bookmarkEnd w:id="181"/>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5"/>
      </w:pPr>
    </w:p>
    <w:p>
      <w:pPr>
        <w:pStyle w:val="5"/>
      </w:pPr>
    </w:p>
    <w:p>
      <w:pPr>
        <w:pStyle w:val="5"/>
      </w:pPr>
    </w:p>
    <w:p>
      <w:pPr>
        <w:pStyle w:val="5"/>
      </w:pPr>
    </w:p>
    <w:p>
      <w:pPr>
        <w:pStyle w:val="5"/>
      </w:pPr>
    </w:p>
    <w:p>
      <w:pPr>
        <w:pStyle w:val="5"/>
      </w:pPr>
    </w:p>
    <w:p>
      <w:pPr>
        <w:pStyle w:val="5"/>
      </w:pPr>
    </w:p>
    <w:p>
      <w:pPr>
        <w:pStyle w:val="5"/>
      </w:pPr>
    </w:p>
    <w:bookmarkEnd w:id="179"/>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40" w:lineRule="exact"/>
        <w:ind w:firstLine="480" w:firstLineChars="200"/>
        <w:rPr>
          <w:rFonts w:hAnsi="宋体" w:eastAsia="宋体" w:cs="宋体"/>
          <w:sz w:val="24"/>
          <w:szCs w:val="28"/>
        </w:rPr>
      </w:pPr>
      <w:r>
        <w:rPr>
          <w:rFonts w:hint="eastAsia" w:hAnsi="宋体" w:eastAsia="宋体" w:cs="宋体"/>
          <w:sz w:val="24"/>
          <w:szCs w:val="28"/>
        </w:rPr>
        <w:t xml:space="preserve">甲方：（买方）_________         乙方：（卖方）_________ </w:t>
      </w:r>
    </w:p>
    <w:p>
      <w:pPr>
        <w:pStyle w:val="12"/>
        <w:spacing w:before="120" w:after="120" w:line="340" w:lineRule="exact"/>
        <w:ind w:firstLine="480" w:firstLineChars="200"/>
        <w:rPr>
          <w:rFonts w:hAnsi="宋体" w:eastAsia="宋体" w:cs="宋体"/>
          <w:sz w:val="24"/>
          <w:szCs w:val="28"/>
          <w:u w:val="single"/>
        </w:rPr>
      </w:pPr>
      <w:r>
        <w:rPr>
          <w:rFonts w:hint="eastAsia" w:hAnsi="宋体" w:eastAsia="宋体" w:cs="宋体"/>
          <w:sz w:val="24"/>
          <w:szCs w:val="28"/>
        </w:rPr>
        <w:t>地址：</w:t>
      </w:r>
      <w:r>
        <w:rPr>
          <w:rFonts w:hint="eastAsia" w:hAnsi="宋体" w:eastAsia="宋体" w:cs="宋体"/>
          <w:sz w:val="24"/>
          <w:szCs w:val="28"/>
          <w:u w:val="single"/>
        </w:rPr>
        <w:t xml:space="preserve">                </w:t>
      </w:r>
      <w:r>
        <w:rPr>
          <w:rFonts w:hint="eastAsia" w:hAnsi="宋体" w:eastAsia="宋体" w:cs="宋体"/>
          <w:sz w:val="24"/>
          <w:szCs w:val="28"/>
        </w:rPr>
        <w:t xml:space="preserve">         地址：</w:t>
      </w:r>
      <w:r>
        <w:rPr>
          <w:rFonts w:hint="eastAsia" w:hAnsi="宋体" w:eastAsia="宋体" w:cs="宋体"/>
          <w:sz w:val="24"/>
          <w:szCs w:val="28"/>
          <w:u w:val="single"/>
        </w:rPr>
        <w:t xml:space="preserve">                 </w:t>
      </w:r>
    </w:p>
    <w:p>
      <w:pPr>
        <w:pStyle w:val="12"/>
        <w:spacing w:before="120" w:after="120" w:line="340" w:lineRule="exact"/>
        <w:ind w:firstLine="480" w:firstLineChars="200"/>
        <w:rPr>
          <w:rFonts w:hAnsi="宋体" w:eastAsia="宋体" w:cs="宋体"/>
          <w:sz w:val="24"/>
          <w:szCs w:val="28"/>
        </w:rPr>
      </w:pPr>
      <w:r>
        <w:rPr>
          <w:rFonts w:hint="eastAsia" w:hAnsi="宋体" w:eastAsia="宋体" w:cs="宋体"/>
          <w:sz w:val="24"/>
          <w:szCs w:val="28"/>
        </w:rPr>
        <w:t>联系方式：</w:t>
      </w:r>
      <w:r>
        <w:rPr>
          <w:rFonts w:hint="eastAsia" w:hAnsi="宋体" w:eastAsia="宋体" w:cs="宋体"/>
          <w:sz w:val="24"/>
          <w:szCs w:val="28"/>
          <w:u w:val="single"/>
        </w:rPr>
        <w:t xml:space="preserve">            </w:t>
      </w:r>
      <w:r>
        <w:rPr>
          <w:rFonts w:hint="eastAsia" w:hAnsi="宋体" w:eastAsia="宋体" w:cs="宋体"/>
          <w:sz w:val="24"/>
          <w:szCs w:val="28"/>
        </w:rPr>
        <w:t xml:space="preserve">         联系方式：</w:t>
      </w:r>
      <w:r>
        <w:rPr>
          <w:rFonts w:hint="eastAsia" w:hAnsi="宋体" w:eastAsia="宋体" w:cs="宋体"/>
          <w:sz w:val="24"/>
          <w:szCs w:val="28"/>
          <w:u w:val="single"/>
        </w:rPr>
        <w:t xml:space="preserve">             </w:t>
      </w:r>
      <w:r>
        <w:rPr>
          <w:rFonts w:hint="eastAsia" w:hAnsi="宋体" w:eastAsia="宋体" w:cs="宋体"/>
          <w:sz w:val="24"/>
          <w:szCs w:val="28"/>
        </w:rPr>
        <w:t xml:space="preserve">      </w:t>
      </w:r>
    </w:p>
    <w:p>
      <w:pPr>
        <w:pStyle w:val="12"/>
        <w:spacing w:before="120" w:after="120" w:line="340" w:lineRule="exact"/>
        <w:ind w:firstLine="480" w:firstLineChars="200"/>
        <w:rPr>
          <w:rFonts w:hAnsi="宋体" w:eastAsia="宋体" w:cs="宋体"/>
          <w:sz w:val="24"/>
          <w:szCs w:val="28"/>
        </w:rPr>
      </w:pPr>
      <w:r>
        <w:rPr>
          <w:rFonts w:hint="eastAsia" w:hAnsi="宋体" w:eastAsia="宋体" w:cs="宋体"/>
          <w:sz w:val="24"/>
          <w:szCs w:val="28"/>
        </w:rPr>
        <w:t>甲、乙双方根据南京医科大学</w:t>
      </w:r>
      <w:r>
        <w:rPr>
          <w:rFonts w:hint="eastAsia" w:hAnsi="宋体" w:eastAsia="宋体" w:cs="宋体"/>
          <w:sz w:val="24"/>
          <w:szCs w:val="28"/>
          <w:u w:val="single"/>
        </w:rPr>
        <w:t xml:space="preserve">             </w:t>
      </w:r>
      <w:r>
        <w:rPr>
          <w:rFonts w:hint="eastAsia" w:hAnsi="宋体" w:eastAsia="宋体" w:cs="宋体"/>
          <w:sz w:val="24"/>
          <w:szCs w:val="28"/>
        </w:rPr>
        <w:t>项目公开招标的结果，本着自愿及平等互利的原则，就甲方向乙方购买本合同约定的货物事宜，签署本合同。</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一、货物内容、数量及金额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sz w:val="24"/>
                <w:szCs w:val="24"/>
              </w:rPr>
            </w:pPr>
            <w:r>
              <w:rPr>
                <w:rFonts w:hint="eastAsia" w:ascii="宋体" w:hAnsi="宋体" w:eastAsia="宋体" w:cs="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sz w:val="24"/>
                <w:szCs w:val="24"/>
              </w:rPr>
            </w:pPr>
            <w:r>
              <w:rPr>
                <w:rFonts w:hint="eastAsia" w:ascii="宋体" w:hAnsi="宋体" w:eastAsia="宋体" w:cs="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sz w:val="24"/>
                <w:szCs w:val="24"/>
              </w:rPr>
            </w:pPr>
            <w:r>
              <w:rPr>
                <w:rFonts w:hint="eastAsia" w:ascii="宋体" w:hAnsi="宋体" w:eastAsia="宋体" w:cs="宋体"/>
                <w:b/>
                <w:sz w:val="24"/>
                <w:szCs w:val="24"/>
              </w:rPr>
              <w:t>规 格 型 号（品牌）</w:t>
            </w:r>
          </w:p>
        </w:tc>
        <w:tc>
          <w:tcPr>
            <w:tcW w:w="682" w:type="dxa"/>
            <w:tcBorders>
              <w:top w:val="single" w:color="auto" w:sz="18" w:space="0"/>
              <w:bottom w:val="single" w:color="auto" w:sz="18" w:space="0"/>
            </w:tcBorders>
            <w:shd w:val="pct10" w:color="auto" w:fill="FFFFFF"/>
            <w:vAlign w:val="center"/>
          </w:tcPr>
          <w:p>
            <w:pPr>
              <w:spacing w:line="340" w:lineRule="exact"/>
              <w:jc w:val="center"/>
              <w:rPr>
                <w:rFonts w:ascii="宋体" w:hAnsi="宋体" w:eastAsia="宋体" w:cs="宋体"/>
                <w:b/>
                <w:sz w:val="24"/>
                <w:szCs w:val="24"/>
              </w:rPr>
            </w:pPr>
            <w:r>
              <w:rPr>
                <w:rFonts w:hint="eastAsia" w:ascii="宋体" w:hAnsi="宋体" w:eastAsia="宋体" w:cs="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jc w:val="center"/>
              <w:rPr>
                <w:rFonts w:ascii="宋体" w:hAnsi="宋体" w:eastAsia="宋体" w:cs="宋体"/>
                <w:b/>
                <w:sz w:val="24"/>
                <w:szCs w:val="24"/>
              </w:rPr>
            </w:pPr>
            <w:r>
              <w:rPr>
                <w:rFonts w:hint="eastAsia" w:ascii="宋体" w:hAnsi="宋体" w:eastAsia="宋体" w:cs="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rPr>
                <w:rFonts w:ascii="宋体" w:hAnsi="宋体" w:eastAsia="宋体" w:cs="宋体"/>
                <w:b/>
                <w:sz w:val="24"/>
                <w:szCs w:val="24"/>
              </w:rPr>
            </w:pPr>
            <w:r>
              <w:rPr>
                <w:rFonts w:hint="eastAsia" w:ascii="宋体" w:hAnsi="宋体" w:eastAsia="宋体" w:cs="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40" w:lineRule="exact"/>
              <w:rPr>
                <w:rFonts w:ascii="宋体" w:hAnsi="宋体" w:eastAsia="宋体" w:cs="宋体"/>
                <w:b/>
                <w:sz w:val="24"/>
                <w:szCs w:val="24"/>
              </w:rPr>
            </w:pPr>
            <w:r>
              <w:rPr>
                <w:rFonts w:hint="eastAsia" w:ascii="宋体" w:hAnsi="宋体" w:eastAsia="宋体" w:cs="宋体"/>
                <w:b/>
                <w:sz w:val="24"/>
                <w:szCs w:val="24"/>
              </w:rPr>
              <w:t>1</w:t>
            </w:r>
          </w:p>
        </w:tc>
        <w:tc>
          <w:tcPr>
            <w:tcW w:w="1797" w:type="dxa"/>
            <w:tcBorders>
              <w:top w:val="nil"/>
              <w:bottom w:val="single" w:color="auto" w:sz="4" w:space="0"/>
            </w:tcBorders>
            <w:vAlign w:val="center"/>
          </w:tcPr>
          <w:p>
            <w:pPr>
              <w:spacing w:line="340" w:lineRule="exact"/>
              <w:jc w:val="center"/>
              <w:rPr>
                <w:rFonts w:ascii="宋体" w:hAnsi="宋体" w:eastAsia="宋体" w:cs="宋体"/>
                <w:sz w:val="24"/>
                <w:szCs w:val="24"/>
              </w:rPr>
            </w:pPr>
          </w:p>
        </w:tc>
        <w:tc>
          <w:tcPr>
            <w:tcW w:w="2352" w:type="dxa"/>
            <w:tcBorders>
              <w:top w:val="nil"/>
              <w:bottom w:val="single" w:color="auto" w:sz="4" w:space="0"/>
            </w:tcBorders>
            <w:vAlign w:val="center"/>
          </w:tcPr>
          <w:p>
            <w:pPr>
              <w:spacing w:line="340" w:lineRule="exac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40" w:lineRule="exact"/>
              <w:ind w:firstLine="118" w:firstLineChars="49"/>
              <w:rPr>
                <w:rFonts w:ascii="宋体" w:hAnsi="宋体" w:eastAsia="宋体" w:cs="宋体"/>
                <w:b/>
                <w:sz w:val="24"/>
                <w:szCs w:val="24"/>
              </w:rPr>
            </w:pPr>
          </w:p>
        </w:tc>
        <w:tc>
          <w:tcPr>
            <w:tcW w:w="1389" w:type="dxa"/>
            <w:tcBorders>
              <w:top w:val="nil"/>
              <w:bottom w:val="single" w:color="auto" w:sz="4" w:space="0"/>
              <w:right w:val="single" w:color="auto" w:sz="4" w:space="0"/>
            </w:tcBorders>
            <w:vAlign w:val="center"/>
          </w:tcPr>
          <w:p>
            <w:pPr>
              <w:spacing w:line="340" w:lineRule="exact"/>
              <w:jc w:val="center"/>
              <w:rPr>
                <w:rFonts w:ascii="宋体" w:hAnsi="宋体" w:eastAsia="宋体" w:cs="宋体"/>
                <w:b/>
                <w:sz w:val="24"/>
                <w:szCs w:val="24"/>
              </w:rPr>
            </w:pPr>
          </w:p>
        </w:tc>
        <w:tc>
          <w:tcPr>
            <w:tcW w:w="1389" w:type="dxa"/>
            <w:tcBorders>
              <w:top w:val="nil"/>
              <w:bottom w:val="single" w:color="auto" w:sz="4" w:space="0"/>
              <w:right w:val="single" w:color="auto" w:sz="4" w:space="0"/>
            </w:tcBorders>
            <w:vAlign w:val="center"/>
          </w:tcPr>
          <w:p>
            <w:pPr>
              <w:spacing w:line="340" w:lineRule="exact"/>
              <w:rPr>
                <w:rFonts w:ascii="宋体" w:hAnsi="宋体" w:eastAsia="宋体" w:cs="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40" w:lineRule="exact"/>
              <w:rPr>
                <w:rFonts w:ascii="宋体" w:hAnsi="宋体" w:eastAsia="宋体" w:cs="宋体"/>
                <w:sz w:val="24"/>
                <w:szCs w:val="24"/>
              </w:rPr>
            </w:pPr>
            <w:r>
              <w:rPr>
                <w:rFonts w:hint="eastAsia" w:ascii="宋体" w:hAnsi="宋体" w:eastAsia="宋体" w:cs="宋体"/>
                <w:b/>
                <w:sz w:val="24"/>
                <w:szCs w:val="24"/>
              </w:rPr>
              <w:t xml:space="preserve">总价（人民币大写）：                         </w:t>
            </w:r>
            <w:r>
              <w:rPr>
                <w:rFonts w:hint="eastAsia" w:ascii="宋体" w:hAnsi="宋体" w:eastAsia="宋体" w:cs="宋体"/>
                <w:sz w:val="24"/>
                <w:szCs w:val="24"/>
              </w:rPr>
              <w:t>合计（小写）：        元</w:t>
            </w:r>
          </w:p>
          <w:p>
            <w:pPr>
              <w:spacing w:line="340" w:lineRule="exact"/>
              <w:rPr>
                <w:rFonts w:ascii="宋体" w:hAnsi="宋体" w:eastAsia="宋体" w:cs="宋体"/>
                <w:sz w:val="24"/>
                <w:szCs w:val="24"/>
              </w:rPr>
            </w:pPr>
            <w:r>
              <w:rPr>
                <w:rFonts w:hint="eastAsia" w:ascii="宋体" w:hAnsi="宋体" w:eastAsia="宋体" w:cs="宋体"/>
                <w:szCs w:val="24"/>
              </w:rPr>
              <w:t>本合同总价款是货物设计、制造、包装、仓储、运输、安装及验收合格之前以及保修期内备品备件发生的所有含税费用。本合同总价款还包含乙方应当提供的伴随服务/售后服务费用。</w:t>
            </w:r>
          </w:p>
        </w:tc>
      </w:tr>
    </w:tbl>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二、结算方式</w:t>
      </w:r>
    </w:p>
    <w:p>
      <w:pPr>
        <w:pStyle w:val="12"/>
        <w:spacing w:before="120" w:after="120" w:line="340" w:lineRule="exact"/>
        <w:ind w:firstLine="480" w:firstLineChars="200"/>
        <w:rPr>
          <w:rFonts w:hAnsi="宋体" w:eastAsia="宋体" w:cs="宋体"/>
          <w:sz w:val="24"/>
          <w:szCs w:val="28"/>
        </w:rPr>
      </w:pPr>
      <w:r>
        <w:rPr>
          <w:rFonts w:hint="eastAsia" w:hAnsi="宋体" w:eastAsia="宋体" w:cs="宋体"/>
          <w:sz w:val="24"/>
          <w:szCs w:val="28"/>
        </w:rPr>
        <w:t>2.1结算方式</w:t>
      </w:r>
    </w:p>
    <w:p>
      <w:pPr>
        <w:pStyle w:val="12"/>
        <w:spacing w:before="120" w:after="120" w:line="330" w:lineRule="atLeast"/>
        <w:ind w:firstLine="480" w:firstLineChars="200"/>
        <w:rPr>
          <w:rFonts w:hAnsi="宋体" w:eastAsia="宋体" w:cs="宋体"/>
          <w:sz w:val="24"/>
          <w:szCs w:val="28"/>
        </w:rPr>
      </w:pPr>
      <w:r>
        <w:rPr>
          <w:rFonts w:hint="eastAsia" w:hAnsi="宋体" w:eastAsia="宋体" w:cs="宋体"/>
          <w:sz w:val="24"/>
          <w:szCs w:val="28"/>
        </w:rPr>
        <w:t>货物交付且安装、调试后，并通过验收后一周内甲方支付合同总金额的100%，付款之前需收到乙方开具的合法有效的全额发票。</w:t>
      </w:r>
    </w:p>
    <w:p>
      <w:pPr>
        <w:pStyle w:val="12"/>
        <w:spacing w:before="120" w:after="120" w:line="340" w:lineRule="exact"/>
        <w:ind w:firstLine="480" w:firstLineChars="200"/>
        <w:rPr>
          <w:rFonts w:hAnsi="宋体" w:eastAsia="宋体" w:cs="宋体"/>
          <w:sz w:val="24"/>
          <w:szCs w:val="28"/>
        </w:rPr>
      </w:pPr>
      <w:r>
        <w:rPr>
          <w:rFonts w:hint="eastAsia" w:hAnsi="宋体" w:eastAsia="宋体" w:cs="宋体"/>
          <w:sz w:val="24"/>
          <w:szCs w:val="28"/>
        </w:rPr>
        <w:t>2.2当采购数量与实际使用数量不一致时，乙方应根据实际使用量供货，合同的最终结算金额按实际使用量乘以成交单价进行计算。</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2.3乙方指定账户信息：</w:t>
      </w:r>
    </w:p>
    <w:p>
      <w:pPr>
        <w:pStyle w:val="12"/>
        <w:spacing w:before="120" w:after="120" w:line="340" w:lineRule="exact"/>
        <w:ind w:left="440" w:leftChars="200" w:firstLine="120" w:firstLineChars="50"/>
        <w:jc w:val="left"/>
        <w:rPr>
          <w:rFonts w:hAnsi="宋体" w:eastAsia="宋体" w:cs="宋体"/>
          <w:sz w:val="24"/>
          <w:szCs w:val="24"/>
        </w:rPr>
      </w:pPr>
      <w:r>
        <w:rPr>
          <w:rFonts w:hint="eastAsia" w:hAnsi="宋体" w:eastAsia="宋体" w:cs="宋体"/>
          <w:sz w:val="24"/>
          <w:szCs w:val="24"/>
        </w:rPr>
        <w:t>开户行：_______</w:t>
      </w:r>
      <w:r>
        <w:rPr>
          <w:rFonts w:hint="eastAsia" w:hAnsi="宋体" w:eastAsia="宋体" w:cs="宋体"/>
          <w:sz w:val="24"/>
          <w:szCs w:val="24"/>
          <w:u w:val="single"/>
        </w:rPr>
        <w:t>_   __</w:t>
      </w:r>
      <w:r>
        <w:rPr>
          <w:rFonts w:hint="eastAsia" w:hAnsi="宋体" w:eastAsia="宋体" w:cs="宋体"/>
          <w:sz w:val="24"/>
          <w:szCs w:val="24"/>
        </w:rPr>
        <w:t xml:space="preserve"> </w:t>
      </w:r>
    </w:p>
    <w:p>
      <w:pPr>
        <w:pStyle w:val="12"/>
        <w:spacing w:before="120" w:after="120" w:line="340" w:lineRule="exact"/>
        <w:ind w:left="440" w:leftChars="200" w:firstLine="120" w:firstLineChars="50"/>
        <w:jc w:val="left"/>
        <w:rPr>
          <w:rFonts w:hAnsi="宋体" w:eastAsia="宋体" w:cs="宋体"/>
          <w:sz w:val="24"/>
          <w:szCs w:val="24"/>
        </w:rPr>
      </w:pPr>
      <w:r>
        <w:rPr>
          <w:rFonts w:hint="eastAsia" w:hAnsi="宋体" w:eastAsia="宋体" w:cs="宋体"/>
          <w:sz w:val="24"/>
          <w:szCs w:val="24"/>
        </w:rPr>
        <w:t>户名：  ________</w:t>
      </w:r>
      <w:r>
        <w:rPr>
          <w:rFonts w:hint="eastAsia" w:hAnsi="宋体" w:eastAsia="宋体" w:cs="宋体"/>
          <w:sz w:val="24"/>
          <w:szCs w:val="24"/>
          <w:u w:val="single"/>
        </w:rPr>
        <w:t>_   __</w:t>
      </w:r>
    </w:p>
    <w:p>
      <w:pPr>
        <w:pStyle w:val="12"/>
        <w:spacing w:before="120" w:after="120" w:line="340" w:lineRule="exact"/>
        <w:ind w:left="440" w:leftChars="200" w:firstLine="120" w:firstLineChars="50"/>
        <w:jc w:val="left"/>
        <w:rPr>
          <w:rFonts w:hAnsi="宋体" w:eastAsia="宋体" w:cs="宋体"/>
          <w:sz w:val="24"/>
          <w:szCs w:val="24"/>
          <w:u w:val="single"/>
        </w:rPr>
      </w:pPr>
      <w:r>
        <w:rPr>
          <w:rFonts w:hint="eastAsia" w:hAnsi="宋体" w:eastAsia="宋体" w:cs="宋体"/>
          <w:sz w:val="24"/>
          <w:szCs w:val="24"/>
        </w:rPr>
        <w:t>账号： _______________</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三、交付方式、时间及地点</w:t>
      </w:r>
    </w:p>
    <w:p>
      <w:pPr>
        <w:pStyle w:val="12"/>
        <w:snapToGrid w:val="0"/>
        <w:spacing w:before="120" w:after="120" w:line="340" w:lineRule="exact"/>
        <w:ind w:firstLine="480" w:firstLineChars="200"/>
        <w:jc w:val="left"/>
        <w:rPr>
          <w:rFonts w:hAnsi="宋体" w:eastAsia="宋体" w:cs="宋体"/>
          <w:sz w:val="24"/>
          <w:szCs w:val="24"/>
          <w:u w:val="single"/>
        </w:rPr>
      </w:pPr>
      <w:r>
        <w:rPr>
          <w:rFonts w:hint="eastAsia" w:hAnsi="宋体" w:eastAsia="宋体" w:cs="宋体"/>
          <w:sz w:val="24"/>
          <w:szCs w:val="24"/>
        </w:rPr>
        <w:t>3.1交付方式：</w:t>
      </w:r>
      <w:r>
        <w:rPr>
          <w:rFonts w:hint="eastAsia" w:hAnsi="宋体" w:eastAsia="宋体" w:cs="宋体"/>
          <w:sz w:val="24"/>
          <w:szCs w:val="24"/>
          <w:u w:val="single"/>
        </w:rPr>
        <w:t xml:space="preserve">乙方按甲方书面通知之日，运送至甲方指定地点，经甲方指定收货人书面签收，则为完成交付 </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3.1交付时间：___________________</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3.2交付地点：___________________</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四、货物包装、发运及运输</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4.1 乙方应在货物发运前根据运输距离、防潮、防震、防锈和防破损装卸等要求进行相应的包装，以保证货物安全运达甲方指定地点。</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4.2 使用说明书、质量检验证明书、随配附件和工具以及清单一并附于货物内。</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4.3 乙方在货物发运手续办理完毕后24小时内或货到甲方48小时前通知甲方，以准备接货。</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4.4 货物在交付甲方前发生的风险均由乙方负责。</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五、</w:t>
      </w:r>
      <w:r>
        <w:rPr>
          <w:rFonts w:hint="eastAsia" w:hAnsi="宋体" w:eastAsia="宋体" w:cs="宋体"/>
          <w:b/>
          <w:sz w:val="24"/>
          <w:szCs w:val="24"/>
        </w:rPr>
        <w:t>质量保证及售后服务</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5.3上述货物的质保期</w:t>
      </w:r>
      <w:r>
        <w:rPr>
          <w:rFonts w:hint="eastAsia" w:hAnsi="宋体" w:eastAsia="宋体" w:cs="宋体"/>
          <w:sz w:val="24"/>
          <w:szCs w:val="24"/>
          <w:u w:val="single"/>
        </w:rPr>
        <w:t xml:space="preserve">      </w:t>
      </w:r>
      <w:r>
        <w:rPr>
          <w:rFonts w:hint="eastAsia" w:hAnsi="宋体" w:eastAsia="宋体" w:cs="宋体"/>
          <w:sz w:val="24"/>
          <w:szCs w:val="24"/>
        </w:rPr>
        <w:t>年。（自交货验收合格次日起计算），因人为因素出现的故障不在免费保修范围内。</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5.4在质保期内，如在使用过程中发生质量问题，乙方在接到甲方通知后在_________小时内响应，并在</w:t>
      </w:r>
      <w:r>
        <w:rPr>
          <w:rFonts w:hint="eastAsia" w:hAnsi="宋体" w:eastAsia="宋体" w:cs="宋体"/>
          <w:sz w:val="24"/>
          <w:szCs w:val="24"/>
          <w:u w:val="single"/>
        </w:rPr>
        <w:t xml:space="preserve">      </w:t>
      </w:r>
      <w:r>
        <w:rPr>
          <w:rFonts w:hint="eastAsia" w:hAnsi="宋体" w:eastAsia="宋体" w:cs="宋体"/>
          <w:sz w:val="24"/>
          <w:szCs w:val="24"/>
        </w:rPr>
        <w:t>小时内赶到甲方现场，免费予以排除故障、修复或者更换零部件。如未及时维修的，甲方委托他人维修，维修费从合同款中扣除或由乙方承担。</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5.5 在质保期内，乙方应对货物出现的质量及安全问题负责处理解决并承担一切费用。</w:t>
      </w:r>
    </w:p>
    <w:p>
      <w:pPr>
        <w:pStyle w:val="12"/>
        <w:spacing w:before="120" w:after="120" w:line="340" w:lineRule="exact"/>
        <w:ind w:firstLine="360" w:firstLineChars="150"/>
        <w:rPr>
          <w:rFonts w:hAnsi="宋体" w:eastAsia="宋体" w:cs="宋体"/>
          <w:sz w:val="24"/>
          <w:szCs w:val="24"/>
        </w:rPr>
      </w:pPr>
      <w:r>
        <w:rPr>
          <w:rFonts w:hint="eastAsia" w:hAnsi="宋体" w:eastAsia="宋体" w:cs="宋体"/>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六、调试和验收</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6.1 乙方交货前应对货物全面检查并对验收文件进行整理，列出清单提交甲方，检验的结果亦应随货物交甲方。</w:t>
      </w:r>
    </w:p>
    <w:p>
      <w:pPr>
        <w:pStyle w:val="12"/>
        <w:spacing w:before="120" w:after="120" w:line="340" w:lineRule="exact"/>
        <w:ind w:firstLine="480" w:firstLineChars="200"/>
        <w:rPr>
          <w:rFonts w:hAnsi="宋体" w:eastAsia="宋体" w:cs="宋体"/>
          <w:sz w:val="24"/>
          <w:szCs w:val="24"/>
          <w:u w:val="single"/>
        </w:rPr>
      </w:pPr>
      <w:r>
        <w:rPr>
          <w:rFonts w:hint="eastAsia" w:hAnsi="宋体" w:eastAsia="宋体" w:cs="宋体"/>
          <w:sz w:val="24"/>
          <w:szCs w:val="24"/>
        </w:rPr>
        <w:t>6.2 甲方对乙方提供的货物在使用前进行调试时，乙方需负责安装并培训甲方的使用操作人员，并协助甲方一起调试，直到符合技术要求。</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6.3 在安装、调试和验收过程中，如发现有漏件、缺件，乙方应无条件、无偿补齐，所发生的一切费用，视为已包含在投标时的投标报价中，且并不因此而影响交付甲方使用的时间。</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6.5 设备、材料安装、调试结束，甲、乙双方派员共同验收，达到验收标准则验收合格。验收完毕后出具验收结果报告并经双方签字确认；验收相关费用由乙方承担。</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七、技术资料</w:t>
      </w:r>
    </w:p>
    <w:p>
      <w:pPr>
        <w:pStyle w:val="12"/>
        <w:spacing w:before="120" w:after="120" w:line="340" w:lineRule="exact"/>
        <w:ind w:firstLine="480" w:firstLineChars="200"/>
        <w:rPr>
          <w:rFonts w:hAnsi="宋体" w:eastAsia="宋体" w:cs="宋体"/>
          <w:b/>
          <w:sz w:val="24"/>
          <w:szCs w:val="24"/>
        </w:rPr>
      </w:pPr>
      <w:r>
        <w:rPr>
          <w:rFonts w:hint="eastAsia" w:hAnsi="宋体" w:eastAsia="宋体" w:cs="宋体"/>
          <w:sz w:val="24"/>
          <w:szCs w:val="24"/>
        </w:rPr>
        <w:t>7.1乙方应按招标文件规定的时间向甲方提供使用货物的有关技术资料。</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八、知识产权</w:t>
      </w:r>
    </w:p>
    <w:p>
      <w:pPr>
        <w:spacing w:line="340" w:lineRule="exact"/>
        <w:ind w:firstLine="480" w:firstLineChars="200"/>
        <w:rPr>
          <w:rFonts w:ascii="宋体" w:hAnsi="宋体" w:eastAsia="宋体" w:cs="宋体"/>
          <w:sz w:val="24"/>
          <w:szCs w:val="24"/>
        </w:rPr>
      </w:pPr>
      <w:r>
        <w:rPr>
          <w:rFonts w:hint="eastAsia" w:ascii="宋体" w:hAnsi="宋体" w:eastAsia="宋体" w:cs="宋体"/>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九、违约责任</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9.1 甲方无正当理由拒收货物的，甲方向乙方偿付拒收货款总值的万分之五违约金。甲方未按合同规定的时间和要求向乙方提供相关安装条件，乙方交付时间顺延。</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9.2 甲方无故迟延支付货款的,甲方应按逾期付款总额每日万分之五向乙方支付违约金。</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9.4 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9.8 乙方履行义务不符合合同约定时，甲方有权扣减本合同总金额的10%的货款，尾款不足10%的，乙方应当补足。</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十、不可抗力事件处理</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10.1 在合同有效期内，任何一方因不可抗力事件导致不能履行合同，则合同履行期可延长，其延长期与不可抗力影响期相同。</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10.2 不可抗力事件发生后，应立即通知对方，并寄送有关权威机构出具的证明。</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10.3 不可抗力事件延续30天以上，双方应通过友好协商，确定是否继续履行合同。</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十一、诉讼</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双方在执行合同中所发生的一切争议，应通过协商解决。如协商不成，双方均应向甲方所在地人民法院提起诉讼。</w:t>
      </w:r>
    </w:p>
    <w:p>
      <w:pPr>
        <w:pStyle w:val="12"/>
        <w:spacing w:before="120" w:after="120" w:line="340" w:lineRule="exact"/>
        <w:ind w:firstLine="482" w:firstLineChars="200"/>
        <w:rPr>
          <w:rFonts w:hAnsi="宋体" w:eastAsia="宋体" w:cs="宋体"/>
          <w:b/>
          <w:sz w:val="24"/>
          <w:szCs w:val="24"/>
        </w:rPr>
      </w:pPr>
      <w:r>
        <w:rPr>
          <w:rFonts w:hint="eastAsia" w:hAnsi="宋体" w:eastAsia="宋体" w:cs="宋体"/>
          <w:b/>
          <w:sz w:val="24"/>
          <w:szCs w:val="24"/>
        </w:rPr>
        <w:t>十二、合同生效及其它</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12.1招投标文件作为合同的附件，与本合同具有同等法律效力。合同经双方法定代表人或授权委托代表人签字、盖章后生效。</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12.2本合同未尽事宜，遵照《中华人民共和国民法典》有关条文执行。</w:t>
      </w:r>
    </w:p>
    <w:p>
      <w:pPr>
        <w:pStyle w:val="12"/>
        <w:spacing w:before="120" w:after="120" w:line="340" w:lineRule="exact"/>
        <w:ind w:firstLine="480" w:firstLineChars="200"/>
        <w:rPr>
          <w:rFonts w:hAnsi="宋体" w:eastAsia="宋体" w:cs="宋体"/>
          <w:sz w:val="24"/>
          <w:szCs w:val="24"/>
        </w:rPr>
      </w:pPr>
      <w:r>
        <w:rPr>
          <w:rFonts w:hint="eastAsia" w:hAnsi="宋体" w:eastAsia="宋体" w:cs="宋体"/>
          <w:sz w:val="24"/>
          <w:szCs w:val="24"/>
        </w:rPr>
        <w:t>12.3 本合同正本一式陆份，甲方伍份，乙方壹份，具有同等法律效力。</w:t>
      </w:r>
    </w:p>
    <w:p>
      <w:pPr>
        <w:pStyle w:val="12"/>
        <w:spacing w:before="120" w:after="120" w:line="340" w:lineRule="exact"/>
        <w:ind w:firstLine="480" w:firstLineChars="200"/>
        <w:rPr>
          <w:rFonts w:hAnsi="宋体" w:eastAsia="宋体" w:cs="宋体"/>
          <w:sz w:val="28"/>
          <w:szCs w:val="28"/>
        </w:rPr>
      </w:pPr>
      <w:r>
        <w:rPr>
          <w:rFonts w:hint="eastAsia" w:hAnsi="宋体" w:eastAsia="宋体" w:cs="宋体"/>
          <w:sz w:val="24"/>
          <w:szCs w:val="24"/>
        </w:rPr>
        <w:t>12.4 其他：</w:t>
      </w:r>
      <w:r>
        <w:rPr>
          <w:rFonts w:hint="eastAsia" w:hAnsi="宋体" w:eastAsia="宋体" w:cs="宋体"/>
          <w:sz w:val="24"/>
          <w:szCs w:val="24"/>
          <w:u w:val="single"/>
        </w:rPr>
        <w:t xml:space="preserve">                                              </w:t>
      </w:r>
      <w:r>
        <w:rPr>
          <w:rFonts w:hint="eastAsia" w:hAnsi="宋体" w:eastAsia="宋体" w:cs="宋体"/>
          <w:sz w:val="24"/>
          <w:szCs w:val="24"/>
        </w:rPr>
        <w:t>。</w:t>
      </w:r>
      <w:r>
        <w:rPr>
          <w:rFonts w:hint="eastAsia" w:hAnsi="宋体" w:eastAsia="宋体" w:cs="宋体"/>
          <w:sz w:val="28"/>
          <w:szCs w:val="28"/>
        </w:rPr>
        <w:t xml:space="preserve">    </w:t>
      </w:r>
    </w:p>
    <w:p>
      <w:pPr>
        <w:pStyle w:val="12"/>
        <w:spacing w:before="120" w:after="120" w:line="340" w:lineRule="exact"/>
        <w:rPr>
          <w:rFonts w:hAnsi="宋体" w:eastAsia="宋体" w:cs="宋体"/>
          <w:sz w:val="24"/>
          <w:szCs w:val="28"/>
        </w:rPr>
      </w:pPr>
      <w:r>
        <w:rPr>
          <w:rFonts w:hint="eastAsia" w:hAnsi="宋体" w:eastAsia="宋体" w:cs="宋体"/>
          <w:sz w:val="24"/>
          <w:szCs w:val="28"/>
        </w:rPr>
        <w:t xml:space="preserve">甲方： 南京医科大学                         乙方： </w:t>
      </w:r>
    </w:p>
    <w:p>
      <w:pPr>
        <w:pStyle w:val="12"/>
        <w:spacing w:before="120" w:after="120" w:line="340" w:lineRule="exact"/>
        <w:rPr>
          <w:rFonts w:hAnsi="宋体" w:eastAsia="宋体" w:cs="宋体"/>
          <w:sz w:val="24"/>
          <w:szCs w:val="28"/>
        </w:rPr>
      </w:pPr>
      <w:r>
        <w:rPr>
          <w:rFonts w:hint="eastAsia" w:hAnsi="宋体" w:eastAsia="宋体" w:cs="宋体"/>
          <w:sz w:val="24"/>
          <w:szCs w:val="28"/>
        </w:rPr>
        <w:t xml:space="preserve">地址：南京市江宁区龙眠大道101号            地址： </w:t>
      </w:r>
    </w:p>
    <w:p>
      <w:pPr>
        <w:pStyle w:val="12"/>
        <w:spacing w:before="120" w:after="120" w:line="340" w:lineRule="exact"/>
        <w:rPr>
          <w:rFonts w:hAnsi="宋体" w:eastAsia="宋体" w:cs="宋体"/>
          <w:sz w:val="24"/>
          <w:szCs w:val="28"/>
        </w:rPr>
      </w:pPr>
      <w:r>
        <w:rPr>
          <w:rFonts w:hint="eastAsia" w:hAnsi="宋体" w:eastAsia="宋体" w:cs="宋体"/>
          <w:sz w:val="24"/>
          <w:szCs w:val="28"/>
        </w:rPr>
        <w:t>法定代表人或授权代表：                      法定代表人或授权代表：</w:t>
      </w:r>
    </w:p>
    <w:p>
      <w:pPr>
        <w:pStyle w:val="12"/>
        <w:spacing w:before="120" w:after="120" w:line="340" w:lineRule="exact"/>
        <w:rPr>
          <w:rFonts w:hAnsi="宋体" w:eastAsia="宋体" w:cs="宋体"/>
          <w:sz w:val="24"/>
          <w:szCs w:val="28"/>
        </w:rPr>
      </w:pPr>
      <w:r>
        <w:rPr>
          <w:rFonts w:hint="eastAsia" w:hAnsi="宋体" w:eastAsia="宋体" w:cs="宋体"/>
          <w:sz w:val="24"/>
          <w:szCs w:val="28"/>
        </w:rPr>
        <w:t xml:space="preserve">联系电话：                                  联系电话：    </w:t>
      </w:r>
    </w:p>
    <w:p>
      <w:pPr>
        <w:pStyle w:val="40"/>
        <w:ind w:firstLine="0"/>
        <w:rPr>
          <w:rFonts w:ascii="宋体" w:hAnsi="宋体" w:cs="宋体"/>
          <w:sz w:val="28"/>
          <w:szCs w:val="28"/>
        </w:rPr>
      </w:pPr>
    </w:p>
    <w:p>
      <w:pPr>
        <w:rPr>
          <w:rFonts w:ascii="宋体" w:hAnsi="宋体" w:eastAsia="宋体" w:cs="宋体"/>
        </w:r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3FC34"/>
    <w:multiLevelType w:val="singleLevel"/>
    <w:tmpl w:val="8693FC34"/>
    <w:lvl w:ilvl="0" w:tentative="0">
      <w:start w:val="1"/>
      <w:numFmt w:val="decimal"/>
      <w:suff w:val="nothing"/>
      <w:lvlText w:val="%1、"/>
      <w:lvlJc w:val="left"/>
    </w:lvl>
  </w:abstractNum>
  <w:abstractNum w:abstractNumId="1">
    <w:nsid w:val="5C7E0EE5"/>
    <w:multiLevelType w:val="multilevel"/>
    <w:tmpl w:val="5C7E0EE5"/>
    <w:lvl w:ilvl="0" w:tentative="0">
      <w:start w:val="1"/>
      <w:numFmt w:val="chineseCountingThousand"/>
      <w:pStyle w:val="4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mM1OGQwNGU2MjVlMjYwOGQ1M2Y4ZGExZjVhZjcwMWYifQ=="/>
  </w:docVars>
  <w:rsids>
    <w:rsidRoot w:val="00D31D50"/>
    <w:rsid w:val="00110C99"/>
    <w:rsid w:val="002142B0"/>
    <w:rsid w:val="00264252"/>
    <w:rsid w:val="00323B43"/>
    <w:rsid w:val="003D37D8"/>
    <w:rsid w:val="00426133"/>
    <w:rsid w:val="004358AB"/>
    <w:rsid w:val="00580E24"/>
    <w:rsid w:val="008B7726"/>
    <w:rsid w:val="00D31D50"/>
    <w:rsid w:val="00EC093E"/>
    <w:rsid w:val="00F07A90"/>
    <w:rsid w:val="5CFC6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0"/>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1"/>
    <w:link w:val="31"/>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5"/>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34"/>
    <w:semiHidden/>
    <w:unhideWhenUsed/>
    <w:qFormat/>
    <w:uiPriority w:val="99"/>
  </w:style>
  <w:style w:type="paragraph" w:styleId="8">
    <w:name w:val="Body Text"/>
    <w:basedOn w:val="1"/>
    <w:link w:val="51"/>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link w:val="32"/>
    <w:unhideWhenUsed/>
    <w:qFormat/>
    <w:uiPriority w:val="0"/>
    <w:pPr>
      <w:spacing w:after="120"/>
      <w:ind w:left="420" w:leftChars="200"/>
    </w:pPr>
  </w:style>
  <w:style w:type="paragraph" w:styleId="10">
    <w:name w:val="Block Text"/>
    <w:basedOn w:val="1"/>
    <w:semiHidden/>
    <w:unhideWhenUsed/>
    <w:qFormat/>
    <w:uiPriority w:val="99"/>
    <w:rPr>
      <w:rFonts w:ascii="Times New Roman" w:hAnsi="Times New Roman"/>
    </w:rPr>
  </w:style>
  <w:style w:type="paragraph" w:styleId="11">
    <w:name w:val="index 4"/>
    <w:basedOn w:val="1"/>
    <w:next w:val="1"/>
    <w:qFormat/>
    <w:uiPriority w:val="99"/>
    <w:pPr>
      <w:ind w:left="600" w:leftChars="600"/>
    </w:pPr>
    <w:rPr>
      <w:rFonts w:cs="Times New Roman"/>
    </w:rPr>
  </w:style>
  <w:style w:type="paragraph" w:styleId="12">
    <w:name w:val="Plain Text"/>
    <w:basedOn w:val="1"/>
    <w:link w:val="47"/>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37"/>
    <w:semiHidden/>
    <w:unhideWhenUsed/>
    <w:qFormat/>
    <w:uiPriority w:val="99"/>
    <w:pPr>
      <w:spacing w:after="0"/>
    </w:pPr>
    <w:rPr>
      <w:sz w:val="18"/>
      <w:szCs w:val="18"/>
    </w:rPr>
  </w:style>
  <w:style w:type="paragraph" w:styleId="14">
    <w:name w:val="footer"/>
    <w:basedOn w:val="1"/>
    <w:link w:val="27"/>
    <w:unhideWhenUsed/>
    <w:qFormat/>
    <w:uiPriority w:val="99"/>
    <w:pPr>
      <w:tabs>
        <w:tab w:val="center" w:pos="4153"/>
        <w:tab w:val="right" w:pos="8306"/>
      </w:tabs>
    </w:pPr>
    <w:rPr>
      <w:sz w:val="18"/>
      <w:szCs w:val="18"/>
    </w:rPr>
  </w:style>
  <w:style w:type="paragraph" w:styleId="15">
    <w:name w:val="envelope return"/>
    <w:basedOn w:val="1"/>
    <w:qFormat/>
    <w:uiPriority w:val="0"/>
    <w:rPr>
      <w:rFonts w:ascii="Arial" w:hAnsi="Arial"/>
    </w:rPr>
  </w:style>
  <w:style w:type="paragraph" w:styleId="16">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8">
    <w:name w:val="Title"/>
    <w:basedOn w:val="1"/>
    <w:next w:val="1"/>
    <w:link w:val="38"/>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9"/>
    <w:link w:val="33"/>
    <w:qFormat/>
    <w:uiPriority w:val="99"/>
    <w:pPr>
      <w:widowControl w:val="0"/>
      <w:spacing w:after="200" w:line="440" w:lineRule="exact"/>
      <w:ind w:left="0" w:leftChars="0" w:firstLine="420" w:firstLineChars="200"/>
      <w:jc w:val="both"/>
    </w:pPr>
    <w:rPr>
      <w:rFonts w:ascii="Calibri" w:hAnsi="Calibri" w:eastAsia="宋体" w:cs="Calibri"/>
      <w:kern w:val="2"/>
      <w:sz w:val="21"/>
      <w:szCs w:val="21"/>
    </w:rPr>
  </w:style>
  <w:style w:type="table" w:styleId="21">
    <w:name w:val="Table Grid"/>
    <w:basedOn w:val="20"/>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semiHidden/>
    <w:unhideWhenUsed/>
    <w:uiPriority w:val="99"/>
    <w:rPr>
      <w:sz w:val="21"/>
      <w:szCs w:val="21"/>
    </w:rPr>
  </w:style>
  <w:style w:type="character" w:customStyle="1" w:styleId="26">
    <w:name w:val="页眉 Char"/>
    <w:basedOn w:val="22"/>
    <w:link w:val="16"/>
    <w:qFormat/>
    <w:uiPriority w:val="99"/>
    <w:rPr>
      <w:rFonts w:ascii="Tahoma" w:hAnsi="Tahoma"/>
      <w:sz w:val="18"/>
      <w:szCs w:val="18"/>
    </w:rPr>
  </w:style>
  <w:style w:type="character" w:customStyle="1" w:styleId="27">
    <w:name w:val="页脚 Char"/>
    <w:basedOn w:val="22"/>
    <w:link w:val="14"/>
    <w:qFormat/>
    <w:uiPriority w:val="99"/>
    <w:rPr>
      <w:rFonts w:ascii="Tahoma" w:hAnsi="Tahoma"/>
      <w:sz w:val="18"/>
      <w:szCs w:val="18"/>
    </w:rPr>
  </w:style>
  <w:style w:type="character" w:customStyle="1" w:styleId="28">
    <w:name w:val="标题 1 Char"/>
    <w:basedOn w:val="22"/>
    <w:link w:val="2"/>
    <w:qFormat/>
    <w:uiPriority w:val="0"/>
    <w:rPr>
      <w:rFonts w:ascii="楷体_GB2312" w:hAnsi="Times New Roman" w:eastAsia="楷体_GB2312" w:cs="Times New Roman"/>
      <w:kern w:val="2"/>
      <w:sz w:val="28"/>
      <w:szCs w:val="28"/>
    </w:rPr>
  </w:style>
  <w:style w:type="character" w:customStyle="1" w:styleId="29">
    <w:name w:val="标题 2 Char"/>
    <w:basedOn w:val="22"/>
    <w:link w:val="3"/>
    <w:semiHidden/>
    <w:qFormat/>
    <w:uiPriority w:val="9"/>
    <w:rPr>
      <w:rFonts w:asciiTheme="majorHAnsi" w:hAnsiTheme="majorHAnsi" w:eastAsiaTheme="majorEastAsia" w:cstheme="majorBidi"/>
      <w:b/>
      <w:bCs/>
      <w:sz w:val="32"/>
      <w:szCs w:val="32"/>
    </w:rPr>
  </w:style>
  <w:style w:type="character" w:customStyle="1" w:styleId="30">
    <w:name w:val="标题 3 Char"/>
    <w:basedOn w:val="22"/>
    <w:link w:val="4"/>
    <w:qFormat/>
    <w:uiPriority w:val="0"/>
    <w:rPr>
      <w:rFonts w:ascii="Times New Roman" w:hAnsi="Times New Roman" w:eastAsia="宋体" w:cs="Times New Roman"/>
      <w:b/>
      <w:bCs/>
      <w:kern w:val="2"/>
      <w:sz w:val="32"/>
      <w:szCs w:val="32"/>
    </w:rPr>
  </w:style>
  <w:style w:type="character" w:customStyle="1" w:styleId="31">
    <w:name w:val="标题 4 Char"/>
    <w:basedOn w:val="22"/>
    <w:link w:val="6"/>
    <w:qFormat/>
    <w:uiPriority w:val="0"/>
    <w:rPr>
      <w:rFonts w:ascii="Arial" w:hAnsi="Arial" w:eastAsia="黑体" w:cs="Arial"/>
      <w:b/>
      <w:bCs/>
      <w:kern w:val="2"/>
      <w:sz w:val="28"/>
      <w:szCs w:val="28"/>
    </w:rPr>
  </w:style>
  <w:style w:type="character" w:customStyle="1" w:styleId="32">
    <w:name w:val="正文文本缩进 Char"/>
    <w:basedOn w:val="22"/>
    <w:link w:val="9"/>
    <w:semiHidden/>
    <w:qFormat/>
    <w:uiPriority w:val="99"/>
    <w:rPr>
      <w:rFonts w:ascii="Tahoma" w:hAnsi="Tahoma"/>
    </w:rPr>
  </w:style>
  <w:style w:type="character" w:customStyle="1" w:styleId="33">
    <w:name w:val="正文首行缩进 2 Char"/>
    <w:basedOn w:val="32"/>
    <w:link w:val="19"/>
    <w:uiPriority w:val="99"/>
    <w:rPr>
      <w:rFonts w:ascii="Calibri" w:hAnsi="Calibri" w:eastAsia="宋体" w:cs="Calibri"/>
      <w:kern w:val="2"/>
      <w:sz w:val="21"/>
      <w:szCs w:val="21"/>
    </w:rPr>
  </w:style>
  <w:style w:type="character" w:customStyle="1" w:styleId="34">
    <w:name w:val="批注文字 Char"/>
    <w:basedOn w:val="22"/>
    <w:link w:val="7"/>
    <w:semiHidden/>
    <w:uiPriority w:val="99"/>
    <w:rPr>
      <w:rFonts w:ascii="Tahoma" w:hAnsi="Tahoma"/>
    </w:rPr>
  </w:style>
  <w:style w:type="character" w:customStyle="1" w:styleId="35">
    <w:name w:val="正文文本 Char"/>
    <w:basedOn w:val="22"/>
    <w:link w:val="8"/>
    <w:qFormat/>
    <w:uiPriority w:val="0"/>
    <w:rPr>
      <w:rFonts w:ascii="Tahoma" w:hAnsi="Tahoma"/>
    </w:rPr>
  </w:style>
  <w:style w:type="character" w:customStyle="1" w:styleId="36">
    <w:name w:val="纯文本 Char"/>
    <w:basedOn w:val="22"/>
    <w:link w:val="12"/>
    <w:qFormat/>
    <w:uiPriority w:val="0"/>
    <w:rPr>
      <w:rFonts w:ascii="宋体" w:hAnsi="Courier New" w:eastAsia="宋体" w:cs="Courier New"/>
      <w:sz w:val="21"/>
      <w:szCs w:val="21"/>
    </w:rPr>
  </w:style>
  <w:style w:type="character" w:customStyle="1" w:styleId="37">
    <w:name w:val="批注框文本 Char"/>
    <w:basedOn w:val="22"/>
    <w:link w:val="13"/>
    <w:semiHidden/>
    <w:qFormat/>
    <w:uiPriority w:val="99"/>
    <w:rPr>
      <w:rFonts w:ascii="Tahoma" w:hAnsi="Tahoma"/>
      <w:sz w:val="18"/>
      <w:szCs w:val="18"/>
    </w:rPr>
  </w:style>
  <w:style w:type="character" w:customStyle="1" w:styleId="38">
    <w:name w:val="标题 Char"/>
    <w:basedOn w:val="22"/>
    <w:link w:val="18"/>
    <w:qFormat/>
    <w:uiPriority w:val="0"/>
    <w:rPr>
      <w:rFonts w:ascii="Cambria" w:hAnsi="Cambria"/>
      <w:b/>
      <w:bCs/>
      <w:kern w:val="2"/>
      <w:sz w:val="32"/>
      <w:szCs w:val="32"/>
    </w:rPr>
  </w:style>
  <w:style w:type="paragraph" w:customStyle="1" w:styleId="3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4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41">
    <w:name w:val="标题 Char1"/>
    <w:basedOn w:val="22"/>
    <w:qFormat/>
    <w:uiPriority w:val="0"/>
    <w:rPr>
      <w:rFonts w:ascii="Cambria" w:hAnsi="Cambria"/>
      <w:b/>
      <w:bCs/>
      <w:kern w:val="2"/>
      <w:sz w:val="32"/>
      <w:szCs w:val="32"/>
    </w:rPr>
  </w:style>
  <w:style w:type="character" w:customStyle="1" w:styleId="42">
    <w:name w:val="标题二 Char"/>
    <w:link w:val="43"/>
    <w:qFormat/>
    <w:uiPriority w:val="0"/>
    <w:rPr>
      <w:rFonts w:ascii="宋体" w:hAnsi="宋体" w:cs="Calibri"/>
      <w:b/>
      <w:color w:val="000000"/>
      <w:kern w:val="1"/>
      <w:sz w:val="28"/>
      <w:szCs w:val="28"/>
    </w:rPr>
  </w:style>
  <w:style w:type="paragraph" w:customStyle="1" w:styleId="43">
    <w:name w:val="标题二"/>
    <w:basedOn w:val="44"/>
    <w:link w:val="4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4">
    <w:name w:val="List Paragraph"/>
    <w:basedOn w:val="1"/>
    <w:qFormat/>
    <w:uiPriority w:val="34"/>
    <w:pPr>
      <w:ind w:firstLine="420" w:firstLineChars="200"/>
    </w:pPr>
  </w:style>
  <w:style w:type="character" w:customStyle="1" w:styleId="45">
    <w:name w:val="正文缩进 Char"/>
    <w:link w:val="5"/>
    <w:qFormat/>
    <w:uiPriority w:val="0"/>
    <w:rPr>
      <w:kern w:val="2"/>
      <w:sz w:val="21"/>
      <w:szCs w:val="21"/>
    </w:rPr>
  </w:style>
  <w:style w:type="character" w:customStyle="1" w:styleId="46">
    <w:name w:val="font1"/>
    <w:qFormat/>
    <w:uiPriority w:val="0"/>
    <w:rPr>
      <w:color w:val="333333"/>
      <w:spacing w:val="450"/>
      <w:sz w:val="18"/>
      <w:szCs w:val="18"/>
      <w:u w:val="none"/>
    </w:rPr>
  </w:style>
  <w:style w:type="character" w:customStyle="1" w:styleId="47">
    <w:name w:val="纯文本 Char1"/>
    <w:basedOn w:val="22"/>
    <w:link w:val="12"/>
    <w:qFormat/>
    <w:uiPriority w:val="0"/>
    <w:rPr>
      <w:rFonts w:ascii="宋体" w:hAnsi="Courier New" w:cs="Courier New"/>
      <w:kern w:val="2"/>
      <w:sz w:val="21"/>
      <w:szCs w:val="21"/>
    </w:rPr>
  </w:style>
  <w:style w:type="character" w:customStyle="1" w:styleId="48">
    <w:name w:val="列出段落 Char"/>
    <w:link w:val="49"/>
    <w:qFormat/>
    <w:locked/>
    <w:uiPriority w:val="34"/>
    <w:rPr>
      <w:rFonts w:ascii="Calibri" w:hAnsi="Calibri"/>
      <w:sz w:val="24"/>
      <w:szCs w:val="24"/>
      <w:lang w:eastAsia="en-US" w:bidi="en-US"/>
    </w:rPr>
  </w:style>
  <w:style w:type="paragraph" w:customStyle="1" w:styleId="49">
    <w:name w:val="列出段落11"/>
    <w:basedOn w:val="1"/>
    <w:link w:val="48"/>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Char1"/>
    <w:basedOn w:val="22"/>
    <w:link w:val="8"/>
    <w:qFormat/>
    <w:uiPriority w:val="0"/>
    <w:rPr>
      <w:rFonts w:ascii="楷体_GB2312" w:hAnsi="Arial" w:eastAsia="楷体_GB2312"/>
      <w:kern w:val="2"/>
      <w:sz w:val="28"/>
      <w:szCs w:val="28"/>
    </w:rPr>
  </w:style>
  <w:style w:type="character" w:customStyle="1" w:styleId="52">
    <w:name w:val="NormalCharacter"/>
    <w:semiHidden/>
    <w:qFormat/>
    <w:uiPriority w:val="0"/>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2356</Words>
  <Characters>13430</Characters>
  <Lines>111</Lines>
  <Paragraphs>31</Paragraphs>
  <TotalTime>4</TotalTime>
  <ScaleCrop>false</ScaleCrop>
  <LinksUpToDate>false</LinksUpToDate>
  <CharactersWithSpaces>15755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cp:lastModifiedBy>
  <dcterms:modified xsi:type="dcterms:W3CDTF">2023-12-21T06:09:44Z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20A7AC11DD054541A390151470F00279_12</vt:lpwstr>
  </property>
</Properties>
</file>