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ind w:firstLine="0"/>
        <w:jc w:val="center"/>
        <w:rPr>
          <w:rFonts w:eastAsia="黑体"/>
          <w:b/>
          <w:bCs/>
          <w:sz w:val="84"/>
        </w:rPr>
      </w:pPr>
    </w:p>
    <w:p>
      <w:pPr>
        <w:pStyle w:val="28"/>
        <w:ind w:firstLine="0"/>
        <w:jc w:val="center"/>
        <w:rPr>
          <w:rFonts w:eastAsia="黑体"/>
          <w:b/>
          <w:bCs/>
          <w:sz w:val="84"/>
        </w:rPr>
      </w:pPr>
    </w:p>
    <w:p>
      <w:pPr>
        <w:pStyle w:val="28"/>
        <w:ind w:firstLine="0"/>
        <w:jc w:val="center"/>
        <w:rPr>
          <w:rFonts w:eastAsia="黑体"/>
          <w:b/>
          <w:bCs/>
          <w:sz w:val="84"/>
        </w:rPr>
      </w:pPr>
      <w:r>
        <w:rPr>
          <w:rFonts w:hint="eastAsia" w:eastAsia="黑体"/>
          <w:b/>
          <w:bCs/>
          <w:sz w:val="84"/>
        </w:rPr>
        <w:t>招　标　文　件</w:t>
      </w:r>
    </w:p>
    <w:p>
      <w:pPr>
        <w:pStyle w:val="28"/>
        <w:ind w:firstLine="2409" w:firstLineChars="750"/>
        <w:rPr>
          <w:b/>
          <w:bCs/>
          <w:sz w:val="32"/>
        </w:rPr>
      </w:pPr>
    </w:p>
    <w:p>
      <w:pPr>
        <w:pStyle w:val="28"/>
        <w:ind w:firstLine="0"/>
        <w:jc w:val="both"/>
        <w:rPr>
          <w:rFonts w:hint="eastAsia" w:eastAsia="宋体"/>
          <w:b/>
          <w:bCs/>
          <w:sz w:val="32"/>
          <w:lang w:eastAsia="zh-CN"/>
        </w:rPr>
      </w:pPr>
      <w:r>
        <w:rPr>
          <w:rFonts w:hint="eastAsia"/>
          <w:b/>
          <w:bCs/>
          <w:sz w:val="32"/>
        </w:rPr>
        <w:t>项目名称：南京医科大学PCR仪购置项目</w:t>
      </w:r>
      <w:r>
        <w:rPr>
          <w:rFonts w:hint="eastAsia"/>
          <w:b/>
          <w:bCs/>
          <w:sz w:val="32"/>
          <w:lang w:eastAsia="zh-CN"/>
        </w:rPr>
        <w:t>（</w:t>
      </w:r>
      <w:r>
        <w:rPr>
          <w:rFonts w:hint="eastAsia"/>
          <w:b/>
          <w:bCs/>
          <w:sz w:val="32"/>
          <w:lang w:val="en-US" w:eastAsia="zh-CN"/>
        </w:rPr>
        <w:t>二次</w:t>
      </w:r>
      <w:r>
        <w:rPr>
          <w:rFonts w:hint="eastAsia"/>
          <w:b/>
          <w:bCs/>
          <w:sz w:val="32"/>
          <w:lang w:eastAsia="zh-CN"/>
        </w:rPr>
        <w:t>）</w:t>
      </w:r>
    </w:p>
    <w:p>
      <w:pPr>
        <w:pStyle w:val="28"/>
        <w:ind w:firstLine="0"/>
        <w:jc w:val="both"/>
        <w:rPr>
          <w:b/>
          <w:bCs/>
          <w:sz w:val="32"/>
        </w:rPr>
      </w:pPr>
      <w:r>
        <w:rPr>
          <w:rFonts w:hint="eastAsia"/>
          <w:b/>
          <w:bCs/>
          <w:sz w:val="32"/>
        </w:rPr>
        <w:t>项目编号：</w:t>
      </w:r>
      <w:r>
        <w:rPr>
          <w:b/>
          <w:bCs/>
          <w:sz w:val="32"/>
        </w:rPr>
        <w:t>NJMUZB3012023130</w:t>
      </w: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ind w:firstLine="0"/>
        <w:jc w:val="center"/>
        <w:rPr>
          <w:b/>
          <w:bCs/>
          <w:sz w:val="32"/>
        </w:rPr>
      </w:pPr>
    </w:p>
    <w:p>
      <w:pPr>
        <w:pStyle w:val="28"/>
        <w:ind w:firstLine="0"/>
        <w:jc w:val="center"/>
        <w:rPr>
          <w:b/>
          <w:bCs/>
          <w:sz w:val="32"/>
        </w:rPr>
      </w:pPr>
      <w:r>
        <w:rPr>
          <w:rFonts w:hint="eastAsia"/>
          <w:b/>
          <w:bCs/>
          <w:sz w:val="32"/>
        </w:rPr>
        <w:t>南京医科大学</w:t>
      </w:r>
      <w:r>
        <w:br w:type="page"/>
      </w:r>
      <w:bookmarkStart w:id="0" w:name="_Toc517190880"/>
      <w:bookmarkStart w:id="1" w:name="_Toc120614210"/>
      <w:bookmarkStart w:id="2" w:name="_Toc479757206"/>
      <w:bookmarkStart w:id="3" w:name="_Toc523127445"/>
      <w:bookmarkStart w:id="4" w:name="_Toc20823272"/>
      <w:bookmarkStart w:id="5" w:name="_Toc513029200"/>
      <w:bookmarkStart w:id="6" w:name="_Toc16938516"/>
      <w:r>
        <w:rPr>
          <w:rFonts w:hint="eastAsia" w:ascii="黑体" w:hAnsi="黑体" w:eastAsia="黑体"/>
          <w:b/>
          <w:sz w:val="44"/>
          <w:szCs w:val="28"/>
        </w:rPr>
        <w:t>目  录</w:t>
      </w:r>
      <w:bookmarkEnd w:id="0"/>
    </w:p>
    <w:p>
      <w:pPr>
        <w:pStyle w:val="16"/>
        <w:tabs>
          <w:tab w:val="right" w:leader="dot" w:pos="8306"/>
        </w:tabs>
        <w:spacing w:before="0" w:after="0" w:line="360" w:lineRule="auto"/>
        <w:rPr>
          <w:rFonts w:ascii="Times New Roman" w:hAnsi="Times New Roman"/>
          <w:sz w:val="24"/>
          <w:szCs w:val="24"/>
        </w:rPr>
      </w:pPr>
      <w:r>
        <w:rPr>
          <w:rFonts w:ascii="Times New Roman" w:hAnsi="Times New Roman"/>
          <w:b w:val="0"/>
          <w:sz w:val="24"/>
          <w:szCs w:val="24"/>
        </w:rPr>
        <w:fldChar w:fldCharType="begin"/>
      </w:r>
      <w:r>
        <w:rPr>
          <w:rFonts w:ascii="Times New Roman" w:hAnsi="Times New Roman"/>
          <w:b w:val="0"/>
          <w:sz w:val="24"/>
          <w:szCs w:val="24"/>
        </w:rPr>
        <w:instrText xml:space="preserve"> TOC \o "1-3" \h \z \u </w:instrText>
      </w:r>
      <w:r>
        <w:rPr>
          <w:rFonts w:ascii="Times New Roman" w:hAnsi="Times New Roman"/>
          <w:b w:val="0"/>
          <w:sz w:val="24"/>
          <w:szCs w:val="24"/>
        </w:rPr>
        <w:fldChar w:fldCharType="separate"/>
      </w:r>
      <w:r>
        <w:fldChar w:fldCharType="begin"/>
      </w:r>
      <w:r>
        <w:instrText xml:space="preserve"> HYPERLINK \l "_Toc25608" </w:instrText>
      </w:r>
      <w:r>
        <w:fldChar w:fldCharType="separate"/>
      </w:r>
      <w:r>
        <w:rPr>
          <w:rFonts w:ascii="Times New Roman" w:hAnsi="Times New Roman"/>
          <w:sz w:val="24"/>
          <w:szCs w:val="24"/>
        </w:rPr>
        <w:t xml:space="preserve">第一章 </w:t>
      </w:r>
      <w:r>
        <w:rPr>
          <w:rFonts w:hint="eastAsia" w:ascii="Times New Roman" w:hAnsi="Times New Roman"/>
          <w:sz w:val="24"/>
          <w:szCs w:val="24"/>
        </w:rPr>
        <w:t xml:space="preserve"> </w:t>
      </w:r>
      <w:r>
        <w:rPr>
          <w:rFonts w:ascii="Times New Roman" w:hAnsi="Times New Roman"/>
          <w:sz w:val="24"/>
          <w:szCs w:val="24"/>
        </w:rPr>
        <w:t>招标公告</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_Toc25608 \h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fldChar w:fldCharType="end"/>
      </w:r>
    </w:p>
    <w:p>
      <w:pPr>
        <w:pStyle w:val="16"/>
        <w:tabs>
          <w:tab w:val="right" w:leader="dot" w:pos="8306"/>
        </w:tabs>
        <w:spacing w:before="0" w:after="0" w:line="360" w:lineRule="auto"/>
        <w:rPr>
          <w:rFonts w:ascii="Times New Roman" w:hAnsi="Times New Roman"/>
          <w:sz w:val="24"/>
          <w:szCs w:val="24"/>
        </w:rPr>
      </w:pPr>
      <w:r>
        <w:fldChar w:fldCharType="begin"/>
      </w:r>
      <w:r>
        <w:instrText xml:space="preserve"> HYPERLINK \l "_Toc18176" </w:instrText>
      </w:r>
      <w:r>
        <w:fldChar w:fldCharType="separate"/>
      </w:r>
      <w:r>
        <w:rPr>
          <w:rFonts w:ascii="Times New Roman" w:hAnsi="Times New Roman"/>
          <w:sz w:val="24"/>
          <w:szCs w:val="24"/>
        </w:rPr>
        <w:t>第二章  投标人须知</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_Toc18176 \h </w:instrText>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r>
        <w:rPr>
          <w:rFonts w:ascii="Times New Roman" w:hAnsi="Times New Roman"/>
          <w:sz w:val="24"/>
          <w:szCs w:val="24"/>
        </w:rPr>
        <w:fldChar w:fldCharType="end"/>
      </w:r>
    </w:p>
    <w:p>
      <w:pPr>
        <w:pStyle w:val="16"/>
        <w:tabs>
          <w:tab w:val="right" w:leader="dot" w:pos="8306"/>
        </w:tabs>
        <w:spacing w:before="0" w:after="0" w:line="360" w:lineRule="auto"/>
        <w:rPr>
          <w:rFonts w:ascii="Times New Roman" w:hAnsi="Times New Roman"/>
          <w:sz w:val="24"/>
          <w:szCs w:val="24"/>
        </w:rPr>
      </w:pPr>
      <w:r>
        <w:fldChar w:fldCharType="begin"/>
      </w:r>
      <w:r>
        <w:instrText xml:space="preserve"> HYPERLINK \l "_Toc15217" </w:instrText>
      </w:r>
      <w:r>
        <w:fldChar w:fldCharType="separate"/>
      </w:r>
      <w:r>
        <w:rPr>
          <w:rFonts w:ascii="Times New Roman" w:hAnsi="Times New Roman"/>
          <w:sz w:val="24"/>
          <w:szCs w:val="24"/>
        </w:rPr>
        <w:t>第三章  项目需求</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_Toc15217 \h </w:instrText>
      </w:r>
      <w:r>
        <w:rPr>
          <w:rFonts w:ascii="Times New Roman" w:hAnsi="Times New Roman"/>
          <w:sz w:val="24"/>
          <w:szCs w:val="24"/>
        </w:rPr>
        <w:fldChar w:fldCharType="separate"/>
      </w:r>
      <w:r>
        <w:rPr>
          <w:rFonts w:ascii="Times New Roman" w:hAnsi="Times New Roman"/>
          <w:sz w:val="24"/>
          <w:szCs w:val="24"/>
        </w:rPr>
        <w:t>15</w:t>
      </w:r>
      <w:r>
        <w:rPr>
          <w:rFonts w:ascii="Times New Roman" w:hAnsi="Times New Roman"/>
          <w:sz w:val="24"/>
          <w:szCs w:val="24"/>
        </w:rPr>
        <w:fldChar w:fldCharType="end"/>
      </w:r>
      <w:r>
        <w:rPr>
          <w:rFonts w:ascii="Times New Roman" w:hAnsi="Times New Roman"/>
          <w:sz w:val="24"/>
          <w:szCs w:val="24"/>
        </w:rPr>
        <w:fldChar w:fldCharType="end"/>
      </w:r>
    </w:p>
    <w:p>
      <w:pPr>
        <w:pStyle w:val="16"/>
        <w:tabs>
          <w:tab w:val="right" w:leader="dot" w:pos="8306"/>
        </w:tabs>
        <w:spacing w:before="0" w:after="0" w:line="360" w:lineRule="auto"/>
        <w:rPr>
          <w:rFonts w:ascii="Times New Roman" w:hAnsi="Times New Roman"/>
          <w:sz w:val="24"/>
          <w:szCs w:val="24"/>
        </w:rPr>
      </w:pPr>
      <w:r>
        <w:fldChar w:fldCharType="begin"/>
      </w:r>
      <w:r>
        <w:instrText xml:space="preserve"> HYPERLINK \l "_Toc1410" </w:instrText>
      </w:r>
      <w:r>
        <w:fldChar w:fldCharType="separate"/>
      </w:r>
      <w:r>
        <w:rPr>
          <w:rFonts w:ascii="Times New Roman" w:hAnsi="Times New Roman"/>
          <w:sz w:val="24"/>
          <w:szCs w:val="24"/>
        </w:rPr>
        <w:t>第四章  评标方法与评标标准</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_Toc1410 \h </w:instrText>
      </w:r>
      <w:r>
        <w:rPr>
          <w:rFonts w:ascii="Times New Roman" w:hAnsi="Times New Roman"/>
          <w:sz w:val="24"/>
          <w:szCs w:val="24"/>
        </w:rPr>
        <w:fldChar w:fldCharType="separate"/>
      </w:r>
      <w:r>
        <w:rPr>
          <w:rFonts w:ascii="Times New Roman" w:hAnsi="Times New Roman"/>
          <w:sz w:val="24"/>
          <w:szCs w:val="24"/>
        </w:rPr>
        <w:t>18</w:t>
      </w:r>
      <w:r>
        <w:rPr>
          <w:rFonts w:ascii="Times New Roman" w:hAnsi="Times New Roman"/>
          <w:sz w:val="24"/>
          <w:szCs w:val="24"/>
        </w:rPr>
        <w:fldChar w:fldCharType="end"/>
      </w:r>
      <w:r>
        <w:rPr>
          <w:rFonts w:ascii="Times New Roman" w:hAnsi="Times New Roman"/>
          <w:sz w:val="24"/>
          <w:szCs w:val="24"/>
        </w:rPr>
        <w:fldChar w:fldCharType="end"/>
      </w:r>
    </w:p>
    <w:p>
      <w:pPr>
        <w:pStyle w:val="16"/>
        <w:tabs>
          <w:tab w:val="right" w:leader="dot" w:pos="8306"/>
        </w:tabs>
        <w:spacing w:before="0" w:after="0" w:line="360" w:lineRule="auto"/>
        <w:rPr>
          <w:rFonts w:ascii="Times New Roman" w:hAnsi="Times New Roman"/>
          <w:sz w:val="24"/>
          <w:szCs w:val="24"/>
        </w:rPr>
      </w:pPr>
      <w:r>
        <w:fldChar w:fldCharType="begin"/>
      </w:r>
      <w:r>
        <w:instrText xml:space="preserve"> HYPERLINK \l "_Toc29394" </w:instrText>
      </w:r>
      <w:r>
        <w:fldChar w:fldCharType="separate"/>
      </w:r>
      <w:r>
        <w:rPr>
          <w:rFonts w:ascii="Times New Roman" w:hAnsi="Times New Roman"/>
          <w:sz w:val="24"/>
          <w:szCs w:val="24"/>
        </w:rPr>
        <w:t>第五章  投标文件格式</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_Toc29394 \h </w:instrText>
      </w:r>
      <w:r>
        <w:rPr>
          <w:rFonts w:ascii="Times New Roman" w:hAnsi="Times New Roman"/>
          <w:sz w:val="24"/>
          <w:szCs w:val="24"/>
        </w:rPr>
        <w:fldChar w:fldCharType="separate"/>
      </w:r>
      <w:r>
        <w:rPr>
          <w:rFonts w:ascii="Times New Roman" w:hAnsi="Times New Roman"/>
          <w:sz w:val="24"/>
          <w:szCs w:val="24"/>
        </w:rPr>
        <w:t>20</w:t>
      </w:r>
      <w:r>
        <w:rPr>
          <w:rFonts w:ascii="Times New Roman" w:hAnsi="Times New Roman"/>
          <w:sz w:val="24"/>
          <w:szCs w:val="24"/>
        </w:rPr>
        <w:fldChar w:fldCharType="end"/>
      </w:r>
      <w:r>
        <w:rPr>
          <w:rFonts w:ascii="Times New Roman" w:hAnsi="Times New Roman"/>
          <w:sz w:val="24"/>
          <w:szCs w:val="24"/>
        </w:rPr>
        <w:fldChar w:fldCharType="end"/>
      </w:r>
    </w:p>
    <w:p>
      <w:pPr>
        <w:spacing w:after="0" w:line="360" w:lineRule="auto"/>
        <w:jc w:val="center"/>
        <w:outlineLvl w:val="0"/>
        <w:rPr>
          <w:rFonts w:ascii="黑体" w:hAnsi="黑体" w:eastAsia="黑体"/>
          <w:b/>
          <w:sz w:val="56"/>
        </w:rPr>
      </w:pPr>
      <w:r>
        <w:rPr>
          <w:rFonts w:ascii="Times New Roman" w:hAnsi="Times New Roman" w:eastAsia="宋体" w:cs="Times New Roman"/>
          <w:sz w:val="24"/>
          <w:szCs w:val="24"/>
        </w:rPr>
        <w:fldChar w:fldCharType="end"/>
      </w:r>
    </w:p>
    <w:p>
      <w:pPr>
        <w:spacing w:line="480" w:lineRule="auto"/>
        <w:rPr>
          <w:rFonts w:ascii="仿宋_GB2312" w:hAnsi="Arial" w:eastAsia="仿宋_GB2312"/>
          <w:b/>
          <w:sz w:val="28"/>
        </w:rPr>
      </w:pPr>
    </w:p>
    <w:p/>
    <w:p/>
    <w:p/>
    <w:p/>
    <w:p/>
    <w:p/>
    <w:p/>
    <w:p/>
    <w:p/>
    <w:p/>
    <w:p/>
    <w:p/>
    <w:p/>
    <w:p/>
    <w:p/>
    <w:p/>
    <w:bookmarkEnd w:id="1"/>
    <w:p>
      <w:pPr>
        <w:pStyle w:val="3"/>
        <w:pageBreakBefore/>
        <w:numPr>
          <w:ilvl w:val="0"/>
          <w:numId w:val="3"/>
        </w:numPr>
        <w:rPr>
          <w:rFonts w:asciiTheme="majorEastAsia" w:hAnsiTheme="majorEastAsia" w:eastAsiaTheme="majorEastAsia"/>
          <w:b/>
          <w:sz w:val="44"/>
        </w:rPr>
      </w:pPr>
      <w:bookmarkStart w:id="7" w:name="_Toc25608"/>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120" w:beforeLines="50" w:after="120" w:afterLines="50" w:line="360" w:lineRule="auto"/>
        <w:ind w:firstLine="480" w:firstLineChars="200"/>
        <w:rPr>
          <w:rFonts w:asciiTheme="minorEastAsia" w:hAnsiTheme="minorEastAsia" w:eastAsiaTheme="minorEastAsia"/>
          <w:sz w:val="24"/>
          <w:szCs w:val="24"/>
        </w:rPr>
      </w:pPr>
      <w:bookmarkStart w:id="8" w:name="_Toc120614211"/>
      <w:bookmarkStart w:id="9" w:name="_Toc20823314"/>
      <w:bookmarkStart w:id="10" w:name="OLE_LINK2"/>
      <w:bookmarkStart w:id="11" w:name="_Toc120614221"/>
      <w:bookmarkStart w:id="12" w:name="_Toc16938558"/>
      <w:bookmarkStart w:id="13" w:name="_Toc444669970"/>
      <w:bookmarkStart w:id="14" w:name="_Toc513029242"/>
      <w:bookmarkStart w:id="15" w:name="OLE_LINK1"/>
      <w:bookmarkStart w:id="16" w:name="_Toc479757207"/>
      <w:r>
        <w:rPr>
          <w:rFonts w:hint="eastAsia" w:asciiTheme="minorEastAsia" w:hAnsiTheme="minorEastAsia" w:eastAsiaTheme="minorEastAsia"/>
          <w:sz w:val="24"/>
          <w:szCs w:val="24"/>
        </w:rPr>
        <w:t>南京医科大学就</w:t>
      </w:r>
      <w:r>
        <w:rPr>
          <w:rFonts w:hint="eastAsia" w:asciiTheme="minorEastAsia" w:hAnsiTheme="minorEastAsia" w:eastAsiaTheme="minorEastAsia"/>
          <w:sz w:val="24"/>
          <w:szCs w:val="24"/>
          <w:u w:val="single"/>
        </w:rPr>
        <w:t xml:space="preserve">   PCR仪购置    </w:t>
      </w:r>
      <w:r>
        <w:rPr>
          <w:rFonts w:hint="eastAsia" w:asciiTheme="minorEastAsia" w:hAnsiTheme="minorEastAsia" w:eastAsiaTheme="minorEastAsia"/>
          <w:sz w:val="24"/>
          <w:szCs w:val="24"/>
        </w:rPr>
        <w:t>采购项目公开招标，相应资金已落实，欢迎符合招标公告资质要求的供应商前来投标。</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一、采购项目名称及编号</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（一）采购项目名称：</w:t>
      </w:r>
      <w:r>
        <w:rPr>
          <w:rFonts w:hint="eastAsia" w:asciiTheme="minorEastAsia" w:hAnsiTheme="minorEastAsia" w:eastAsiaTheme="minorEastAsia"/>
          <w:sz w:val="24"/>
          <w:szCs w:val="24"/>
          <w:lang w:val="en-US" w:eastAsia="zh-CN"/>
        </w:rPr>
        <w:t>南京医科大学</w:t>
      </w:r>
      <w:bookmarkStart w:id="183" w:name="_GoBack"/>
      <w:bookmarkEnd w:id="183"/>
      <w:r>
        <w:rPr>
          <w:rFonts w:hint="eastAsia" w:asciiTheme="minorEastAsia" w:hAnsiTheme="minorEastAsia" w:eastAsiaTheme="minorEastAsia"/>
          <w:sz w:val="24"/>
          <w:szCs w:val="24"/>
        </w:rPr>
        <w:t>PCR仪购置（二次）</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（二）采购项目编号：</w:t>
      </w:r>
      <w:r>
        <w:rPr>
          <w:rFonts w:asciiTheme="minorEastAsia" w:hAnsiTheme="minorEastAsia" w:eastAsiaTheme="minorEastAsia"/>
          <w:sz w:val="24"/>
          <w:szCs w:val="24"/>
        </w:rPr>
        <w:t>NJMUZB3012023130</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二、采购项目的预算金额</w:t>
      </w: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7万                                              </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三、采购项目需求：见第三章</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四、投标商资格要求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（一）符合政府采购法第二十二条第一款规定的条件，并提供下列材料</w:t>
      </w:r>
      <w:r>
        <w:rPr>
          <w:rFonts w:hint="eastAsia" w:ascii="宋体" w:hAnsi="宋体" w:eastAsia="宋体" w:cs="宋体"/>
          <w:b/>
          <w:bCs/>
          <w:sz w:val="24"/>
          <w:szCs w:val="24"/>
        </w:rPr>
        <w:t>（注：分别提供纸质材料并加盖公章，原件备查）</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1.具有独立承担民事责任的能力。法人或者其他组织的营业执照等证明文件，法定代表人、授权代表人的身份证明；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2.具有良好的商业信誉和健全的财务会计制度； </w:t>
      </w:r>
      <w:r>
        <w:rPr>
          <w:rFonts w:ascii="宋体" w:hAnsi="宋体" w:eastAsia="宋体" w:cs="宋体"/>
          <w:sz w:val="24"/>
          <w:szCs w:val="24"/>
        </w:rPr>
        <w:t>2022年度审计报告或者2023</w:t>
      </w:r>
      <w:r>
        <w:rPr>
          <w:rFonts w:hint="eastAsia" w:ascii="宋体" w:hAnsi="宋体" w:eastAsia="宋体" w:cs="宋体"/>
          <w:sz w:val="24"/>
          <w:szCs w:val="24"/>
        </w:rPr>
        <w:t>年度任一季度的财务状况报告；</w:t>
      </w:r>
    </w:p>
    <w:p>
      <w:pPr>
        <w:spacing w:after="0" w:line="360" w:lineRule="auto"/>
        <w:ind w:firstLine="480" w:firstLineChars="200"/>
        <w:rPr>
          <w:rFonts w:ascii="宋体" w:hAnsi="宋体" w:eastAsia="宋体" w:cs="宋体"/>
          <w:b/>
          <w:sz w:val="24"/>
          <w:szCs w:val="24"/>
        </w:rPr>
      </w:pPr>
      <w:r>
        <w:rPr>
          <w:rFonts w:hint="eastAsia" w:ascii="宋体" w:hAnsi="宋体" w:eastAsia="宋体" w:cs="宋体"/>
          <w:sz w:val="24"/>
          <w:szCs w:val="24"/>
        </w:rPr>
        <w:t>3.</w:t>
      </w:r>
      <w:r>
        <w:rPr>
          <w:rFonts w:hint="eastAsia"/>
        </w:rPr>
        <w:t xml:space="preserve"> </w:t>
      </w:r>
      <w:r>
        <w:rPr>
          <w:rFonts w:hint="eastAsia" w:ascii="宋体" w:hAnsi="宋体" w:eastAsia="宋体" w:cs="宋体"/>
          <w:sz w:val="24"/>
          <w:szCs w:val="24"/>
        </w:rPr>
        <w:t>依法缴纳税收和社会保障资金的相关材料，</w:t>
      </w:r>
      <w:r>
        <w:rPr>
          <w:rFonts w:hint="eastAsia" w:ascii="宋体" w:hAnsi="宋体" w:eastAsia="宋体" w:cs="宋体"/>
          <w:b/>
          <w:sz w:val="24"/>
          <w:szCs w:val="24"/>
        </w:rPr>
        <w:t>提供参加本次采购活动前连续6个月缴纳社保和税收的凭证；</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4.具备履行合同所必需的设备和专业技术能力的证明材料；</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5.参加政府采购活动前3年内在经营活动中没有重大违法记录的书面声明；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r>
        <w:rPr>
          <w:rFonts w:hint="eastAsia" w:ascii="宋体" w:hAnsi="宋体" w:eastAsia="宋体" w:cs="宋体"/>
          <w:sz w:val="24"/>
          <w:szCs w:val="24"/>
        </w:rPr>
        <w:tab/>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7.未被“信用中国”网站（www.creditchina.gov.cn）列入失信被执行人、重大税收违法案件当事人名单、政府采购严重失信行为记录名单。</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Cs/>
          <w:sz w:val="24"/>
          <w:szCs w:val="24"/>
        </w:rPr>
        <w:t>本次招标不接受联合体，不得分包、转包。</w:t>
      </w:r>
    </w:p>
    <w:p>
      <w:pPr>
        <w:spacing w:after="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（一）投标文件接收截止时间及开标时间：202</w:t>
      </w:r>
      <w:r>
        <w:rPr>
          <w:rFonts w:ascii="宋体" w:hAnsi="宋体" w:eastAsia="宋体" w:cs="宋体"/>
          <w:sz w:val="24"/>
          <w:szCs w:val="24"/>
        </w:rPr>
        <w:t>4</w:t>
      </w:r>
      <w:r>
        <w:rPr>
          <w:rFonts w:hint="eastAsia" w:ascii="宋体" w:hAnsi="宋体" w:eastAsia="宋体" w:cs="宋体"/>
          <w:sz w:val="24"/>
          <w:szCs w:val="24"/>
        </w:rPr>
        <w:t>年</w:t>
      </w:r>
      <w:r>
        <w:rPr>
          <w:rFonts w:ascii="宋体" w:hAnsi="宋体" w:eastAsia="宋体" w:cs="宋体"/>
          <w:sz w:val="24"/>
          <w:szCs w:val="24"/>
        </w:rPr>
        <w:t>1</w:t>
      </w:r>
      <w:r>
        <w:rPr>
          <w:rFonts w:hint="eastAsia" w:ascii="宋体" w:hAnsi="宋体" w:eastAsia="宋体" w:cs="宋体"/>
          <w:sz w:val="24"/>
          <w:szCs w:val="24"/>
        </w:rPr>
        <w:t>月</w:t>
      </w:r>
      <w:r>
        <w:rPr>
          <w:rFonts w:ascii="宋体" w:hAnsi="宋体" w:eastAsia="宋体" w:cs="宋体"/>
          <w:sz w:val="24"/>
          <w:szCs w:val="24"/>
        </w:rPr>
        <w:t>10</w:t>
      </w:r>
      <w:r>
        <w:rPr>
          <w:rFonts w:hint="eastAsia" w:ascii="宋体" w:hAnsi="宋体" w:eastAsia="宋体" w:cs="宋体"/>
          <w:sz w:val="24"/>
          <w:szCs w:val="24"/>
        </w:rPr>
        <w:t>日</w:t>
      </w:r>
      <w:r>
        <w:rPr>
          <w:rFonts w:ascii="宋体" w:hAnsi="宋体" w:eastAsia="宋体" w:cs="宋体"/>
          <w:sz w:val="24"/>
          <w:szCs w:val="24"/>
        </w:rPr>
        <w:t>9</w:t>
      </w:r>
      <w:r>
        <w:rPr>
          <w:rFonts w:hint="eastAsia" w:ascii="宋体" w:hAnsi="宋体" w:eastAsia="宋体" w:cs="宋体"/>
          <w:sz w:val="24"/>
          <w:szCs w:val="24"/>
        </w:rPr>
        <w:t>时15</w:t>
      </w:r>
      <w:r>
        <w:rPr>
          <w:rFonts w:ascii="宋体" w:hAnsi="宋体" w:eastAsia="宋体" w:cs="宋体"/>
          <w:sz w:val="24"/>
          <w:szCs w:val="24"/>
        </w:rPr>
        <w:t>分</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（二）开标地点：江苏省南京市江宁区龙眠大道101号南京医科大学江宁校区德馨楼B201</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（三）投标文件接收要求：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1.纸质版投标文件：一式五份，其中正本一份、副本四份，在标书封面标注“正本”、“副本”字样。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2.电子版投标文件：U盘提供</w:t>
      </w:r>
      <w:r>
        <w:rPr>
          <w:rFonts w:hint="eastAsia" w:ascii="宋体" w:hAnsi="宋体" w:eastAsia="宋体" w:cs="宋体"/>
          <w:b/>
          <w:bCs/>
          <w:sz w:val="24"/>
          <w:szCs w:val="24"/>
        </w:rPr>
        <w:t>盖章版</w:t>
      </w:r>
      <w:r>
        <w:rPr>
          <w:rFonts w:hint="eastAsia" w:ascii="宋体" w:hAnsi="宋体" w:eastAsia="宋体" w:cs="宋体"/>
          <w:sz w:val="24"/>
          <w:szCs w:val="24"/>
        </w:rPr>
        <w:t>投标文件，PDF格式。文件名称为：项目名称+投标单位名称。</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3.投标文件密封并在封口处加盖公章。</w:t>
      </w:r>
    </w:p>
    <w:p>
      <w:pPr>
        <w:spacing w:after="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（四）采购项目联系人</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招标联系人：曹老师       联系电话：</w:t>
      </w:r>
      <w:r>
        <w:rPr>
          <w:rFonts w:asciiTheme="minorEastAsia" w:hAnsiTheme="minorEastAsia" w:eastAsiaTheme="minorEastAsia"/>
          <w:sz w:val="24"/>
          <w:szCs w:val="24"/>
        </w:rPr>
        <w:t>13813848996</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联系地址：江苏省南京市江宁区龙眠大道101号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（五）注意事项</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凡参加投标的相关人员在进入开标现场前完成以下程序:</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1.凡参与投标的相关人员，进入学校时应遵守学校管理规定，配合工作人员的管理。进入开标现场后，应在开标室等候，不得随意走动；</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2.入校申请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（1）关注“智慧南医”公众号， 点击“访客系统”，进入系统。</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1819275</wp:posOffset>
            </wp:positionH>
            <wp:positionV relativeFrom="paragraph">
              <wp:posOffset>88900</wp:posOffset>
            </wp:positionV>
            <wp:extent cx="1581150" cy="2259330"/>
            <wp:effectExtent l="0" t="0" r="0" b="8255"/>
            <wp:wrapNone/>
            <wp:docPr id="1"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3"/>
                    <pic:cNvPicPr>
                      <a:picLocks noChangeAspect="1"/>
                    </pic:cNvPicPr>
                  </pic:nvPicPr>
                  <pic:blipFill>
                    <a:blip r:embed="rId9"/>
                    <a:stretch>
                      <a:fillRect/>
                    </a:stretch>
                  </pic:blipFill>
                  <pic:spPr>
                    <a:xfrm>
                      <a:off x="0" y="0"/>
                      <a:ext cx="1591602" cy="2273976"/>
                    </a:xfrm>
                    <a:prstGeom prst="rect">
                      <a:avLst/>
                    </a:prstGeom>
                    <a:noFill/>
                    <a:ln>
                      <a:noFill/>
                    </a:ln>
                  </pic:spPr>
                </pic:pic>
              </a:graphicData>
            </a:graphic>
          </wp:anchor>
        </w:drawing>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pStyle w:val="2"/>
        <w:ind w:left="1320"/>
        <w:rPr>
          <w:rFonts w:ascii="宋体" w:hAnsi="宋体" w:eastAsia="宋体" w:cs="宋体"/>
          <w:sz w:val="24"/>
          <w:szCs w:val="24"/>
        </w:rPr>
      </w:pPr>
    </w:p>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（2）通过手机号和验证码登陆系统， 点击“入校申请”。（系统内访问部门：基础医学国家级实验教学示范中心，人员：曹月，联系方式：13813848996）。</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1847215</wp:posOffset>
            </wp:positionH>
            <wp:positionV relativeFrom="paragraph">
              <wp:posOffset>70485</wp:posOffset>
            </wp:positionV>
            <wp:extent cx="1162685" cy="2035175"/>
            <wp:effectExtent l="0" t="0" r="18415" b="3175"/>
            <wp:wrapNone/>
            <wp:docPr id="3"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4"/>
                    <pic:cNvPicPr>
                      <a:picLocks noChangeAspect="1"/>
                    </pic:cNvPicPr>
                  </pic:nvPicPr>
                  <pic:blipFill>
                    <a:blip r:embed="rId10"/>
                    <a:stretch>
                      <a:fillRect/>
                    </a:stretch>
                  </pic:blipFill>
                  <pic:spPr>
                    <a:xfrm>
                      <a:off x="0" y="0"/>
                      <a:ext cx="1162685" cy="2035175"/>
                    </a:xfrm>
                    <a:prstGeom prst="rect">
                      <a:avLst/>
                    </a:prstGeom>
                    <a:noFill/>
                    <a:ln>
                      <a:noFill/>
                    </a:ln>
                  </pic:spPr>
                </pic:pic>
              </a:graphicData>
            </a:graphic>
          </wp:anchor>
        </w:drawing>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pStyle w:val="19"/>
        <w:ind w:firstLine="480"/>
        <w:rPr>
          <w:rFonts w:ascii="宋体" w:hAnsi="宋体" w:cs="宋体"/>
          <w:sz w:val="24"/>
          <w:szCs w:val="24"/>
        </w:rPr>
      </w:pPr>
    </w:p>
    <w:p>
      <w:pPr>
        <w:rPr>
          <w:rFonts w:ascii="宋体" w:hAnsi="宋体" w:eastAsia="宋体" w:cs="宋体"/>
          <w:sz w:val="24"/>
          <w:szCs w:val="24"/>
        </w:rPr>
      </w:pPr>
    </w:p>
    <w:p>
      <w:pPr>
        <w:pStyle w:val="19"/>
      </w:pPr>
    </w:p>
    <w:p>
      <w:pPr>
        <w:spacing w:after="0" w:line="360" w:lineRule="auto"/>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（3）填写相关信息， 上传个人照片等。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（4）开标当天在校门口刷身份证入校。</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六、投标保证金</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本次招标项目不收取投标保证金。</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七、投标无效的情形</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（一）投标文件未加盖公章、法人或者授权代表未签字；</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（二）未按照招标文件规定的格式投标；</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（三）投标报价超过项目预算；</w:t>
      </w:r>
    </w:p>
    <w:p>
      <w:pPr>
        <w:spacing w:before="120" w:beforeLines="50" w:after="12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四</w:t>
      </w:r>
      <w:r>
        <w:rPr>
          <w:rFonts w:asciiTheme="minorEastAsia" w:hAnsiTheme="minorEastAsia" w:eastAsiaTheme="minorEastAsia"/>
          <w:sz w:val="24"/>
          <w:szCs w:val="24"/>
        </w:rPr>
        <w:t>）投标文件没有对招标文件的实质性要求和条件作出响应；</w:t>
      </w:r>
    </w:p>
    <w:p>
      <w:pPr>
        <w:spacing w:before="120" w:beforeLines="50" w:after="12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五</w:t>
      </w:r>
      <w:r>
        <w:rPr>
          <w:rFonts w:asciiTheme="minorEastAsia" w:hAnsiTheme="minorEastAsia" w:eastAsiaTheme="minorEastAsia"/>
          <w:sz w:val="24"/>
          <w:szCs w:val="24"/>
        </w:rPr>
        <w:t>）投标人有串通投标、弄虚作假、行贿等违法行为。</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八、其他</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（一）现场勘查和标前会议根据项目特点确定是否需要。</w:t>
      </w:r>
    </w:p>
    <w:p>
      <w:pPr>
        <w:pStyle w:val="27"/>
        <w:spacing w:before="120" w:beforeLines="50" w:after="120" w:afterLines="50" w:line="360" w:lineRule="auto"/>
        <w:ind w:firstLine="640"/>
        <w:rPr>
          <w:rFonts w:asciiTheme="minorEastAsia" w:hAnsiTheme="minorEastAsia" w:eastAsiaTheme="minorEastAsia"/>
          <w:bCs/>
          <w:sz w:val="32"/>
          <w:szCs w:val="28"/>
        </w:rPr>
      </w:pPr>
    </w:p>
    <w:bookmarkEnd w:id="8"/>
    <w:bookmarkEnd w:id="9"/>
    <w:bookmarkEnd w:id="10"/>
    <w:bookmarkEnd w:id="11"/>
    <w:bookmarkEnd w:id="12"/>
    <w:bookmarkEnd w:id="13"/>
    <w:bookmarkEnd w:id="14"/>
    <w:bookmarkEnd w:id="15"/>
    <w:bookmarkEnd w:id="16"/>
    <w:p>
      <w:pPr>
        <w:pStyle w:val="3"/>
        <w:pageBreakBefore/>
        <w:rPr>
          <w:rFonts w:asciiTheme="majorEastAsia" w:hAnsiTheme="majorEastAsia" w:eastAsiaTheme="majorEastAsia"/>
          <w:b/>
          <w:sz w:val="44"/>
        </w:rPr>
      </w:pPr>
      <w:bookmarkStart w:id="17" w:name="_Toc18176"/>
      <w:r>
        <w:rPr>
          <w:rFonts w:hint="eastAsia" w:asciiTheme="majorEastAsia" w:hAnsiTheme="majorEastAsia" w:eastAsiaTheme="majorEastAsia"/>
          <w:b/>
          <w:sz w:val="44"/>
        </w:rPr>
        <w:t xml:space="preserve">第二章  </w:t>
      </w:r>
      <w:bookmarkStart w:id="18" w:name="_Toc20823274"/>
      <w:bookmarkStart w:id="19" w:name="_Toc16938518"/>
      <w:bookmarkStart w:id="20" w:name="_Toc513029202"/>
      <w:bookmarkStart w:id="21" w:name="_Toc120614213"/>
      <w:r>
        <w:rPr>
          <w:rFonts w:hint="eastAsia" w:asciiTheme="majorEastAsia" w:hAnsiTheme="majorEastAsia" w:eastAsiaTheme="majorEastAsia"/>
          <w:b/>
          <w:sz w:val="44"/>
        </w:rPr>
        <w:t>投标人须知</w:t>
      </w:r>
      <w:bookmarkEnd w:id="17"/>
      <w:bookmarkEnd w:id="18"/>
      <w:bookmarkEnd w:id="19"/>
      <w:bookmarkEnd w:id="20"/>
      <w:bookmarkEnd w:id="21"/>
    </w:p>
    <w:p>
      <w:pPr>
        <w:pStyle w:val="28"/>
        <w:rPr>
          <w:rFonts w:ascii="宋体" w:hAnsi="宋体" w:cs="宋体"/>
          <w:b/>
        </w:rPr>
      </w:pPr>
      <w:bookmarkStart w:id="22" w:name="_Toc20823275"/>
      <w:bookmarkStart w:id="23" w:name="_Toc16938519"/>
      <w:bookmarkStart w:id="24" w:name="_Toc513029203"/>
      <w:bookmarkStart w:id="25" w:name="_Toc120614214"/>
      <w:r>
        <w:rPr>
          <w:rFonts w:hint="eastAsia" w:ascii="宋体" w:hAnsi="宋体" w:cs="宋体"/>
          <w:b/>
        </w:rPr>
        <w:t>一、总则</w:t>
      </w:r>
      <w:bookmarkEnd w:id="22"/>
      <w:bookmarkEnd w:id="23"/>
      <w:bookmarkEnd w:id="24"/>
      <w:bookmarkEnd w:id="25"/>
    </w:p>
    <w:p>
      <w:pPr>
        <w:pStyle w:val="28"/>
        <w:rPr>
          <w:rFonts w:ascii="宋体" w:hAnsi="宋体" w:cs="宋体"/>
          <w:b/>
          <w:bCs/>
        </w:rPr>
      </w:pPr>
      <w:bookmarkStart w:id="26" w:name="_Hlt16619475"/>
      <w:bookmarkEnd w:id="26"/>
      <w:bookmarkStart w:id="27" w:name="_Toc458694821"/>
      <w:bookmarkStart w:id="28" w:name="_Toc20823276"/>
      <w:bookmarkStart w:id="29" w:name="_Toc16938520"/>
      <w:bookmarkStart w:id="30" w:name="_Toc513029204"/>
      <w:r>
        <w:rPr>
          <w:rFonts w:hint="eastAsia" w:ascii="宋体" w:hAnsi="宋体" w:cs="宋体"/>
          <w:b/>
          <w:bCs/>
        </w:rPr>
        <w:t>1</w:t>
      </w:r>
      <w:bookmarkEnd w:id="27"/>
      <w:r>
        <w:rPr>
          <w:rFonts w:hint="eastAsia" w:ascii="宋体" w:hAnsi="宋体" w:cs="宋体"/>
          <w:b/>
          <w:bCs/>
        </w:rPr>
        <w:t>.招标方式</w:t>
      </w:r>
      <w:bookmarkEnd w:id="28"/>
      <w:bookmarkEnd w:id="29"/>
      <w:bookmarkEnd w:id="30"/>
    </w:p>
    <w:p>
      <w:pPr>
        <w:pStyle w:val="28"/>
        <w:rPr>
          <w:rFonts w:ascii="宋体" w:hAnsi="宋体" w:cs="宋体"/>
        </w:rPr>
      </w:pPr>
      <w:r>
        <w:rPr>
          <w:rFonts w:hint="eastAsia" w:ascii="宋体" w:hAnsi="宋体" w:cs="宋体"/>
        </w:rPr>
        <w:t>1.1 本次招标采取公开招标方式，本招标文件仅适用于招标公告中所述项目。</w:t>
      </w:r>
    </w:p>
    <w:p>
      <w:pPr>
        <w:pStyle w:val="28"/>
        <w:rPr>
          <w:rFonts w:ascii="宋体" w:hAnsi="宋体" w:cs="宋体"/>
          <w:b/>
          <w:bCs/>
        </w:rPr>
      </w:pPr>
      <w:bookmarkStart w:id="31" w:name="_Toc20823277"/>
      <w:bookmarkStart w:id="32" w:name="_Toc16938521"/>
      <w:bookmarkStart w:id="33" w:name="_Toc513029205"/>
      <w:r>
        <w:rPr>
          <w:rFonts w:hint="eastAsia" w:ascii="宋体" w:hAnsi="宋体" w:cs="宋体"/>
          <w:b/>
          <w:bCs/>
        </w:rPr>
        <w:t>2.合格的投标人</w:t>
      </w:r>
      <w:bookmarkEnd w:id="31"/>
      <w:bookmarkEnd w:id="32"/>
      <w:bookmarkEnd w:id="33"/>
    </w:p>
    <w:p>
      <w:pPr>
        <w:pStyle w:val="28"/>
        <w:rPr>
          <w:rFonts w:ascii="宋体" w:hAnsi="宋体" w:cs="宋体"/>
        </w:rPr>
      </w:pPr>
      <w:r>
        <w:rPr>
          <w:rFonts w:hint="eastAsia" w:ascii="宋体" w:hAnsi="宋体" w:cs="宋体"/>
        </w:rPr>
        <w:t>2.1满足招标公告中供应商资格要求的规定。</w:t>
      </w:r>
    </w:p>
    <w:p>
      <w:pPr>
        <w:pStyle w:val="28"/>
        <w:rPr>
          <w:rFonts w:ascii="宋体" w:hAnsi="宋体" w:cs="宋体"/>
        </w:rPr>
      </w:pPr>
      <w:r>
        <w:rPr>
          <w:rFonts w:hint="eastAsia" w:ascii="宋体" w:hAnsi="宋体" w:cs="宋体"/>
        </w:rPr>
        <w:t>2.2 满足本文件实质性条款的规定。</w:t>
      </w:r>
    </w:p>
    <w:p>
      <w:pPr>
        <w:pStyle w:val="28"/>
        <w:rPr>
          <w:rFonts w:ascii="宋体" w:hAnsi="宋体" w:cs="宋体"/>
          <w:b/>
          <w:bCs/>
        </w:rPr>
      </w:pPr>
      <w:bookmarkStart w:id="34" w:name="_Toc16938522"/>
      <w:bookmarkStart w:id="35" w:name="_Toc513029206"/>
      <w:bookmarkStart w:id="36" w:name="_Toc20823278"/>
      <w:r>
        <w:rPr>
          <w:rFonts w:hint="eastAsia" w:ascii="宋体" w:hAnsi="宋体" w:cs="宋体"/>
          <w:b/>
          <w:bCs/>
        </w:rPr>
        <w:t>3.适用法律</w:t>
      </w:r>
      <w:bookmarkEnd w:id="34"/>
      <w:bookmarkEnd w:id="35"/>
      <w:bookmarkEnd w:id="36"/>
    </w:p>
    <w:p>
      <w:pPr>
        <w:pStyle w:val="28"/>
        <w:rPr>
          <w:rFonts w:ascii="宋体" w:hAnsi="宋体" w:cs="宋体"/>
        </w:rPr>
      </w:pPr>
      <w:r>
        <w:rPr>
          <w:rFonts w:hint="eastAsia" w:ascii="宋体" w:hAnsi="宋体" w:cs="宋体"/>
        </w:rPr>
        <w:t>本次招标及由此产生的合同受中华人民共和国有关的法律法规制约和保护。</w:t>
      </w:r>
    </w:p>
    <w:p>
      <w:pPr>
        <w:pStyle w:val="28"/>
        <w:rPr>
          <w:rFonts w:ascii="宋体" w:hAnsi="宋体" w:cs="宋体"/>
          <w:b/>
          <w:bCs/>
        </w:rPr>
      </w:pPr>
      <w:bookmarkStart w:id="37" w:name="_Toc16938523"/>
      <w:bookmarkStart w:id="38" w:name="_Toc462564067"/>
      <w:bookmarkStart w:id="39" w:name="_Toc513029207"/>
      <w:bookmarkStart w:id="40" w:name="_Toc20823279"/>
      <w:r>
        <w:rPr>
          <w:rFonts w:hint="eastAsia" w:ascii="宋体" w:hAnsi="宋体" w:cs="宋体"/>
          <w:b/>
          <w:bCs/>
        </w:rPr>
        <w:t>4.投标费用</w:t>
      </w:r>
      <w:bookmarkEnd w:id="37"/>
      <w:bookmarkEnd w:id="38"/>
      <w:bookmarkEnd w:id="39"/>
      <w:bookmarkEnd w:id="40"/>
    </w:p>
    <w:p>
      <w:pPr>
        <w:pStyle w:val="28"/>
        <w:rPr>
          <w:rFonts w:ascii="宋体" w:hAnsi="宋体" w:cs="宋体"/>
        </w:rPr>
      </w:pPr>
      <w:r>
        <w:rPr>
          <w:rFonts w:hint="eastAsia" w:ascii="宋体" w:hAnsi="宋体" w:cs="宋体"/>
        </w:rPr>
        <w:t>投标人应自行承担所有与参加投标有关的费用。</w:t>
      </w:r>
    </w:p>
    <w:p>
      <w:pPr>
        <w:pStyle w:val="28"/>
        <w:rPr>
          <w:rFonts w:ascii="宋体" w:hAnsi="宋体" w:cs="宋体"/>
          <w:b/>
          <w:bCs/>
        </w:rPr>
      </w:pPr>
      <w:r>
        <w:rPr>
          <w:rFonts w:hint="eastAsia" w:ascii="宋体" w:hAnsi="宋体" w:cs="宋体"/>
          <w:b/>
        </w:rPr>
        <w:t>5.</w:t>
      </w:r>
      <w:r>
        <w:rPr>
          <w:rFonts w:hint="eastAsia" w:ascii="宋体" w:hAnsi="宋体" w:cs="宋体"/>
          <w:b/>
          <w:bCs/>
        </w:rPr>
        <w:t>招标文件的约束力</w:t>
      </w:r>
    </w:p>
    <w:p>
      <w:pPr>
        <w:pStyle w:val="28"/>
        <w:rPr>
          <w:rFonts w:ascii="宋体" w:hAnsi="宋体" w:cs="宋体"/>
        </w:rPr>
      </w:pPr>
      <w:r>
        <w:rPr>
          <w:rFonts w:hint="eastAsia" w:ascii="宋体" w:hAnsi="宋体" w:cs="宋体"/>
        </w:rPr>
        <w:t>投标人一旦参加本项目采购活动，即被认为接受了本招标文件的规定和约束。</w:t>
      </w:r>
    </w:p>
    <w:p>
      <w:pPr>
        <w:pStyle w:val="28"/>
        <w:rPr>
          <w:rFonts w:ascii="宋体" w:hAnsi="宋体" w:cs="宋体"/>
          <w:b/>
        </w:rPr>
      </w:pPr>
      <w:bookmarkStart w:id="41" w:name="_Toc20823281"/>
      <w:bookmarkStart w:id="42" w:name="_Toc513029209"/>
      <w:bookmarkStart w:id="43" w:name="_Toc517190883"/>
      <w:bookmarkStart w:id="44" w:name="_Toc120614215"/>
      <w:bookmarkStart w:id="45" w:name="_Toc16938525"/>
      <w:r>
        <w:rPr>
          <w:rFonts w:hint="eastAsia" w:ascii="宋体" w:hAnsi="宋体" w:cs="宋体"/>
          <w:b/>
        </w:rPr>
        <w:t>二、招标文件</w:t>
      </w:r>
      <w:bookmarkEnd w:id="41"/>
      <w:bookmarkEnd w:id="42"/>
      <w:bookmarkEnd w:id="43"/>
      <w:bookmarkEnd w:id="44"/>
      <w:bookmarkEnd w:id="45"/>
    </w:p>
    <w:p>
      <w:pPr>
        <w:pStyle w:val="28"/>
        <w:rPr>
          <w:rFonts w:ascii="宋体" w:hAnsi="宋体" w:cs="宋体"/>
          <w:b/>
          <w:bCs/>
        </w:rPr>
      </w:pPr>
      <w:bookmarkStart w:id="46" w:name="_Toc20823282"/>
      <w:bookmarkStart w:id="47" w:name="_Toc16938526"/>
      <w:bookmarkStart w:id="48" w:name="_Toc513029210"/>
      <w:r>
        <w:rPr>
          <w:rFonts w:hint="eastAsia" w:ascii="宋体" w:hAnsi="宋体" w:cs="宋体"/>
          <w:b/>
          <w:bCs/>
        </w:rPr>
        <w:t>6.招标文件构成</w:t>
      </w:r>
      <w:bookmarkEnd w:id="46"/>
      <w:bookmarkEnd w:id="47"/>
      <w:bookmarkEnd w:id="48"/>
    </w:p>
    <w:p>
      <w:pPr>
        <w:pStyle w:val="28"/>
        <w:rPr>
          <w:rFonts w:ascii="宋体" w:hAnsi="宋体" w:cs="宋体"/>
        </w:rPr>
      </w:pPr>
      <w:r>
        <w:rPr>
          <w:rFonts w:hint="eastAsia" w:ascii="宋体" w:hAnsi="宋体" w:cs="宋体"/>
          <w:bCs/>
        </w:rPr>
        <w:t>6.1</w:t>
      </w:r>
      <w:r>
        <w:rPr>
          <w:rFonts w:hint="eastAsia" w:ascii="宋体" w:hAnsi="宋体" w:cs="宋体"/>
        </w:rPr>
        <w:t xml:space="preserve"> 招标文件由以下部分组成：</w:t>
      </w:r>
    </w:p>
    <w:p>
      <w:pPr>
        <w:pStyle w:val="28"/>
        <w:rPr>
          <w:rFonts w:ascii="宋体" w:hAnsi="宋体" w:cs="宋体"/>
        </w:rPr>
      </w:pPr>
      <w:r>
        <w:rPr>
          <w:rFonts w:hint="eastAsia" w:ascii="宋体" w:hAnsi="宋体" w:cs="宋体"/>
        </w:rPr>
        <w:t>（1）招标公告</w:t>
      </w:r>
    </w:p>
    <w:p>
      <w:pPr>
        <w:pStyle w:val="28"/>
        <w:rPr>
          <w:rFonts w:ascii="宋体" w:hAnsi="宋体" w:cs="宋体"/>
        </w:rPr>
      </w:pPr>
      <w:r>
        <w:rPr>
          <w:rFonts w:hint="eastAsia" w:ascii="宋体" w:hAnsi="宋体" w:cs="宋体"/>
        </w:rPr>
        <w:t>（2）投标人须知</w:t>
      </w:r>
    </w:p>
    <w:p>
      <w:pPr>
        <w:pStyle w:val="28"/>
        <w:rPr>
          <w:rFonts w:ascii="宋体" w:hAnsi="宋体" w:cs="宋体"/>
        </w:rPr>
      </w:pPr>
      <w:r>
        <w:rPr>
          <w:rFonts w:hint="eastAsia" w:ascii="宋体" w:hAnsi="宋体" w:cs="宋体"/>
        </w:rPr>
        <w:t>（3）项目需求</w:t>
      </w:r>
    </w:p>
    <w:p>
      <w:pPr>
        <w:pStyle w:val="28"/>
        <w:rPr>
          <w:rFonts w:ascii="宋体" w:hAnsi="宋体" w:cs="宋体"/>
        </w:rPr>
      </w:pPr>
      <w:r>
        <w:rPr>
          <w:rFonts w:hint="eastAsia" w:ascii="宋体" w:hAnsi="宋体" w:cs="宋体"/>
        </w:rPr>
        <w:t>（4）评标方法与评标标准</w:t>
      </w:r>
    </w:p>
    <w:p>
      <w:pPr>
        <w:pStyle w:val="28"/>
        <w:rPr>
          <w:rFonts w:ascii="宋体" w:hAnsi="宋体" w:cs="宋体"/>
        </w:rPr>
      </w:pPr>
      <w:r>
        <w:rPr>
          <w:rFonts w:hint="eastAsia" w:ascii="宋体" w:hAnsi="宋体" w:cs="宋体"/>
        </w:rPr>
        <w:t>（5）投标文件格式</w:t>
      </w:r>
    </w:p>
    <w:p>
      <w:pPr>
        <w:pStyle w:val="28"/>
        <w:rPr>
          <w:rFonts w:ascii="宋体" w:hAnsi="宋体" w:cs="宋体"/>
        </w:rPr>
      </w:pPr>
      <w:r>
        <w:rPr>
          <w:rFonts w:hint="eastAsia" w:ascii="宋体" w:hAnsi="宋体" w:cs="宋体"/>
        </w:rPr>
        <w:t>（6）签订合同范本</w:t>
      </w:r>
    </w:p>
    <w:p>
      <w:pPr>
        <w:pStyle w:val="28"/>
        <w:rPr>
          <w:rFonts w:ascii="宋体" w:hAnsi="宋体" w:cs="宋体"/>
        </w:rPr>
      </w:pPr>
      <w:r>
        <w:rPr>
          <w:rFonts w:hint="eastAsia" w:ascii="宋体" w:hAnsi="宋体" w:cs="宋体"/>
        </w:rPr>
        <w:t>请仔细检查招标文件是否齐全，如有缺漏请立即与采购人联系解决。</w:t>
      </w:r>
    </w:p>
    <w:p>
      <w:pPr>
        <w:pStyle w:val="28"/>
        <w:rPr>
          <w:rFonts w:ascii="宋体" w:hAnsi="宋体" w:cs="宋体"/>
        </w:rPr>
      </w:pPr>
      <w:r>
        <w:rPr>
          <w:rFonts w:hint="eastAsia" w:ascii="宋体" w:hAnsi="宋体" w:cs="宋体"/>
          <w:bCs/>
        </w:rPr>
        <w:t>6.2</w:t>
      </w:r>
      <w:r>
        <w:rPr>
          <w:rFonts w:hint="eastAsia" w:ascii="宋体" w:hAnsi="宋体" w:cs="宋体"/>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8"/>
        <w:rPr>
          <w:rFonts w:ascii="宋体" w:hAnsi="宋体" w:cs="宋体"/>
          <w:b/>
          <w:bCs/>
        </w:rPr>
      </w:pPr>
      <w:bookmarkStart w:id="49" w:name="_Toc16938527"/>
      <w:bookmarkStart w:id="50" w:name="_Toc20823283"/>
      <w:bookmarkStart w:id="51" w:name="_Toc513029211"/>
      <w:bookmarkStart w:id="52" w:name="_Toc462564070"/>
      <w:r>
        <w:rPr>
          <w:rFonts w:hint="eastAsia" w:ascii="宋体" w:hAnsi="宋体" w:cs="宋体"/>
          <w:b/>
          <w:bCs/>
        </w:rPr>
        <w:t>7.招标文件的澄清</w:t>
      </w:r>
      <w:bookmarkEnd w:id="49"/>
      <w:bookmarkEnd w:id="50"/>
      <w:bookmarkEnd w:id="51"/>
      <w:bookmarkEnd w:id="52"/>
    </w:p>
    <w:p>
      <w:pPr>
        <w:pStyle w:val="28"/>
        <w:rPr>
          <w:rFonts w:ascii="宋体" w:hAnsi="宋体" w:cs="宋体"/>
        </w:rPr>
      </w:pPr>
      <w:r>
        <w:rPr>
          <w:rFonts w:hint="eastAsia" w:ascii="宋体" w:hAnsi="宋体" w:cs="宋体"/>
        </w:rPr>
        <w:t>任何要求对招标文件进行澄清的投标人，应在投标截止期</w:t>
      </w:r>
      <w:r>
        <w:rPr>
          <w:rFonts w:hint="eastAsia" w:ascii="宋体" w:hAnsi="宋体" w:cs="宋体"/>
          <w:b/>
        </w:rPr>
        <w:t>十日</w:t>
      </w:r>
      <w:r>
        <w:rPr>
          <w:rFonts w:hint="eastAsia" w:ascii="宋体" w:hAnsi="宋体" w:cs="宋体"/>
        </w:rPr>
        <w:t>前按招标公告中的通讯地址，以书面形式通知采购人。</w:t>
      </w:r>
    </w:p>
    <w:p>
      <w:pPr>
        <w:pStyle w:val="28"/>
        <w:rPr>
          <w:rFonts w:ascii="宋体" w:hAnsi="宋体" w:cs="宋体"/>
          <w:b/>
          <w:bCs/>
        </w:rPr>
      </w:pPr>
      <w:bookmarkStart w:id="53" w:name="_Toc462564071"/>
      <w:bookmarkStart w:id="54" w:name="_Toc16938528"/>
      <w:bookmarkStart w:id="55" w:name="_Toc20823284"/>
      <w:bookmarkStart w:id="56" w:name="_Toc513029212"/>
      <w:r>
        <w:rPr>
          <w:rFonts w:hint="eastAsia" w:ascii="宋体" w:hAnsi="宋体" w:cs="宋体"/>
          <w:b/>
          <w:bCs/>
        </w:rPr>
        <w:t>8.招标文件的修改</w:t>
      </w:r>
      <w:bookmarkEnd w:id="53"/>
      <w:bookmarkEnd w:id="54"/>
      <w:bookmarkEnd w:id="55"/>
      <w:bookmarkEnd w:id="56"/>
    </w:p>
    <w:p>
      <w:pPr>
        <w:pStyle w:val="28"/>
        <w:rPr>
          <w:rFonts w:ascii="宋体" w:hAnsi="宋体" w:cs="宋体"/>
        </w:rPr>
      </w:pPr>
      <w:r>
        <w:rPr>
          <w:rFonts w:hint="eastAsia" w:ascii="宋体" w:hAnsi="宋体" w:cs="宋体"/>
          <w:bCs/>
        </w:rPr>
        <w:t>8.1</w:t>
      </w:r>
      <w:r>
        <w:rPr>
          <w:rFonts w:hint="eastAsia" w:ascii="宋体" w:hAnsi="宋体" w:cs="宋体"/>
        </w:rPr>
        <w:t xml:space="preserve"> 在投标截止时间前，采购人可以对招标文件进行修改。</w:t>
      </w:r>
    </w:p>
    <w:p>
      <w:pPr>
        <w:pStyle w:val="28"/>
        <w:rPr>
          <w:rFonts w:ascii="宋体" w:hAnsi="宋体" w:cs="宋体"/>
        </w:rPr>
      </w:pPr>
      <w:r>
        <w:rPr>
          <w:rFonts w:hint="eastAsia" w:ascii="宋体" w:hAnsi="宋体" w:cs="宋体"/>
          <w:bCs/>
        </w:rPr>
        <w:t xml:space="preserve">8.2 </w:t>
      </w:r>
      <w:r>
        <w:rPr>
          <w:rFonts w:hint="eastAsia" w:ascii="宋体" w:hAnsi="宋体" w:cs="宋体"/>
        </w:rPr>
        <w:t>采购人有权按照法定的要求推迟投标截止日期和开标日期。</w:t>
      </w:r>
    </w:p>
    <w:p>
      <w:pPr>
        <w:pStyle w:val="28"/>
        <w:rPr>
          <w:rFonts w:ascii="宋体" w:hAnsi="宋体" w:cs="宋体"/>
        </w:rPr>
      </w:pPr>
      <w:r>
        <w:rPr>
          <w:rFonts w:hint="eastAsia" w:ascii="宋体" w:hAnsi="宋体" w:cs="宋体"/>
          <w:bCs/>
        </w:rPr>
        <w:t xml:space="preserve">8.3 </w:t>
      </w:r>
      <w:r>
        <w:rPr>
          <w:rFonts w:hint="eastAsia" w:ascii="宋体" w:hAnsi="宋体" w:cs="宋体"/>
        </w:rPr>
        <w:t>招标文件的修改将在南京医科大学校园网公布，补充文件将作为招标文件的组成部分，并对投标人具有约束力。</w:t>
      </w:r>
    </w:p>
    <w:p>
      <w:pPr>
        <w:pStyle w:val="28"/>
        <w:rPr>
          <w:rFonts w:ascii="宋体" w:hAnsi="宋体" w:cs="宋体"/>
          <w:b/>
        </w:rPr>
      </w:pPr>
      <w:bookmarkStart w:id="57" w:name="_Toc16938529"/>
      <w:bookmarkStart w:id="58" w:name="_Toc462564072"/>
      <w:bookmarkStart w:id="59" w:name="_Toc20823285"/>
      <w:bookmarkStart w:id="60" w:name="_Toc513029213"/>
      <w:bookmarkStart w:id="61" w:name="_Toc517190884"/>
      <w:bookmarkStart w:id="62" w:name="_Toc120614216"/>
      <w:r>
        <w:rPr>
          <w:rFonts w:hint="eastAsia" w:ascii="宋体" w:hAnsi="宋体" w:cs="宋体"/>
          <w:b/>
        </w:rPr>
        <w:t>三、投标文件的编制</w:t>
      </w:r>
      <w:bookmarkEnd w:id="57"/>
      <w:bookmarkEnd w:id="58"/>
      <w:bookmarkEnd w:id="59"/>
      <w:bookmarkEnd w:id="60"/>
      <w:bookmarkEnd w:id="61"/>
      <w:bookmarkEnd w:id="62"/>
    </w:p>
    <w:p>
      <w:pPr>
        <w:pStyle w:val="28"/>
        <w:rPr>
          <w:rFonts w:ascii="宋体" w:hAnsi="宋体" w:cs="宋体"/>
          <w:bCs/>
        </w:rPr>
      </w:pPr>
      <w:bookmarkStart w:id="63" w:name="_Toc20823286"/>
      <w:bookmarkStart w:id="64" w:name="_Toc16938530"/>
      <w:bookmarkStart w:id="65" w:name="_Toc462564073"/>
      <w:bookmarkStart w:id="66" w:name="_Toc513029214"/>
      <w:r>
        <w:rPr>
          <w:rFonts w:hint="eastAsia" w:ascii="宋体" w:hAnsi="宋体" w:cs="宋体"/>
          <w:b/>
          <w:bCs/>
        </w:rPr>
        <w:t>9.投标文件的语言及度量衡单位</w:t>
      </w:r>
      <w:bookmarkEnd w:id="63"/>
      <w:bookmarkEnd w:id="64"/>
      <w:bookmarkEnd w:id="65"/>
      <w:bookmarkEnd w:id="66"/>
    </w:p>
    <w:p>
      <w:pPr>
        <w:pStyle w:val="28"/>
        <w:rPr>
          <w:rFonts w:ascii="宋体" w:hAnsi="宋体" w:cs="宋体"/>
        </w:rPr>
      </w:pPr>
      <w:r>
        <w:rPr>
          <w:rFonts w:hint="eastAsia" w:ascii="宋体" w:hAnsi="宋体" w:cs="宋体"/>
          <w:bCs/>
        </w:rPr>
        <w:t>9.1</w:t>
      </w:r>
      <w:r>
        <w:rPr>
          <w:rFonts w:hint="eastAsia" w:ascii="宋体" w:hAnsi="宋体" w:cs="宋体"/>
        </w:rPr>
        <w:t xml:space="preserve"> 投标人提交的投标文件以及投标人与采购人就有关投标的所有来往通知、函件和文件均应使用</w:t>
      </w:r>
      <w:r>
        <w:rPr>
          <w:rFonts w:hint="eastAsia" w:ascii="宋体" w:hAnsi="宋体" w:cs="宋体"/>
          <w:b/>
          <w:bCs/>
        </w:rPr>
        <w:t>简体中文</w:t>
      </w:r>
      <w:r>
        <w:rPr>
          <w:rFonts w:hint="eastAsia" w:ascii="宋体" w:hAnsi="宋体" w:cs="宋体"/>
        </w:rPr>
        <w:t>。</w:t>
      </w:r>
    </w:p>
    <w:p>
      <w:pPr>
        <w:pStyle w:val="28"/>
        <w:rPr>
          <w:rFonts w:ascii="宋体" w:hAnsi="宋体" w:cs="宋体"/>
        </w:rPr>
      </w:pPr>
      <w:r>
        <w:rPr>
          <w:rFonts w:hint="eastAsia" w:ascii="宋体" w:hAnsi="宋体" w:cs="宋体"/>
          <w:bCs/>
        </w:rPr>
        <w:t>9.2</w:t>
      </w:r>
      <w:r>
        <w:rPr>
          <w:rFonts w:hint="eastAsia" w:ascii="宋体" w:hAnsi="宋体" w:cs="宋体"/>
        </w:rPr>
        <w:t xml:space="preserve"> 除技术性能另有规定外，投标文件所使用的度量衡单位，均须采用国家法定计量单位。</w:t>
      </w:r>
    </w:p>
    <w:p>
      <w:pPr>
        <w:pStyle w:val="28"/>
        <w:rPr>
          <w:rFonts w:ascii="宋体" w:hAnsi="宋体" w:cs="宋体"/>
          <w:b/>
          <w:bCs/>
        </w:rPr>
      </w:pPr>
      <w:bookmarkStart w:id="67" w:name="_Toc16938531"/>
      <w:bookmarkStart w:id="68" w:name="_Toc462564074"/>
      <w:bookmarkStart w:id="69" w:name="_Toc20823287"/>
      <w:bookmarkStart w:id="70" w:name="_Toc513029215"/>
      <w:r>
        <w:rPr>
          <w:rFonts w:hint="eastAsia" w:ascii="宋体" w:hAnsi="宋体" w:cs="宋体"/>
          <w:b/>
          <w:bCs/>
        </w:rPr>
        <w:t>10.投标文件构成</w:t>
      </w:r>
      <w:bookmarkEnd w:id="67"/>
      <w:bookmarkEnd w:id="68"/>
      <w:bookmarkEnd w:id="69"/>
      <w:bookmarkEnd w:id="70"/>
    </w:p>
    <w:p>
      <w:pPr>
        <w:pStyle w:val="28"/>
        <w:rPr>
          <w:rFonts w:ascii="宋体" w:hAnsi="宋体" w:cs="宋体"/>
        </w:rPr>
      </w:pPr>
      <w:r>
        <w:rPr>
          <w:rFonts w:hint="eastAsia" w:ascii="宋体" w:hAnsi="宋体" w:cs="宋体"/>
          <w:bCs/>
        </w:rPr>
        <w:t>10.1</w:t>
      </w:r>
      <w:r>
        <w:rPr>
          <w:rFonts w:hint="eastAsia" w:ascii="宋体" w:hAnsi="宋体" w:cs="宋体"/>
        </w:rPr>
        <w:t xml:space="preserve"> 投标人编写的投标文件应包括投标函、开标一览表、资信证明文件、投标配置与分项报价表、技术参数响应及偏离表、技术及售后服务承诺书等部分。</w:t>
      </w:r>
    </w:p>
    <w:p>
      <w:pPr>
        <w:pStyle w:val="28"/>
        <w:rPr>
          <w:rFonts w:ascii="宋体" w:hAnsi="宋体" w:cs="宋体"/>
        </w:rPr>
      </w:pPr>
      <w:r>
        <w:rPr>
          <w:rFonts w:hint="eastAsia" w:ascii="宋体" w:hAnsi="宋体" w:cs="宋体"/>
        </w:rPr>
        <w:t>10.2</w:t>
      </w:r>
      <w:r>
        <w:rPr>
          <w:rFonts w:hint="eastAsia" w:ascii="宋体" w:hAnsi="宋体" w:cs="宋体"/>
          <w:b/>
        </w:rPr>
        <w:t xml:space="preserve"> </w:t>
      </w:r>
      <w:r>
        <w:rPr>
          <w:rFonts w:hint="eastAsia" w:ascii="宋体" w:hAnsi="宋体" w:cs="宋体"/>
        </w:rPr>
        <w:t>投标人应将投标文件按顺序装订成册，并编制投标文件资料目录。</w:t>
      </w:r>
    </w:p>
    <w:p>
      <w:pPr>
        <w:pStyle w:val="28"/>
        <w:rPr>
          <w:rFonts w:ascii="宋体" w:hAnsi="宋体" w:cs="宋体"/>
          <w:b/>
          <w:bCs/>
        </w:rPr>
      </w:pPr>
      <w:bookmarkStart w:id="71" w:name="_Hlt26954838"/>
      <w:bookmarkEnd w:id="71"/>
      <w:bookmarkStart w:id="72" w:name="_Hlt26668975"/>
      <w:bookmarkEnd w:id="72"/>
      <w:bookmarkStart w:id="73" w:name="_Hlt26670360"/>
      <w:bookmarkEnd w:id="73"/>
      <w:bookmarkStart w:id="74" w:name="_Toc513029219"/>
      <w:bookmarkStart w:id="75" w:name="_Toc49090509"/>
      <w:bookmarkStart w:id="76" w:name="_Toc14577357"/>
      <w:bookmarkStart w:id="77" w:name="_Toc513029216"/>
      <w:bookmarkStart w:id="78" w:name="_Toc14577354"/>
      <w:bookmarkStart w:id="79" w:name="_Toc49090507"/>
      <w:r>
        <w:rPr>
          <w:rFonts w:hint="eastAsia" w:ascii="宋体" w:hAnsi="宋体" w:cs="宋体"/>
          <w:b/>
          <w:bCs/>
        </w:rPr>
        <w:t>11.证明投标人资格及符合招标文件规定的文件</w:t>
      </w:r>
      <w:bookmarkEnd w:id="74"/>
      <w:bookmarkEnd w:id="75"/>
      <w:bookmarkEnd w:id="76"/>
    </w:p>
    <w:p>
      <w:pPr>
        <w:pStyle w:val="28"/>
        <w:rPr>
          <w:rFonts w:ascii="宋体" w:hAnsi="宋体" w:cs="宋体"/>
        </w:rPr>
      </w:pPr>
      <w:r>
        <w:rPr>
          <w:rFonts w:hint="eastAsia" w:ascii="宋体" w:hAnsi="宋体" w:cs="宋体"/>
        </w:rPr>
        <w:t>11.1</w:t>
      </w:r>
      <w:bookmarkStart w:id="80" w:name="_Hlt26668999"/>
      <w:bookmarkEnd w:id="80"/>
      <w:r>
        <w:rPr>
          <w:rFonts w:hint="eastAsia" w:ascii="宋体" w:hAnsi="宋体" w:cs="宋体"/>
        </w:rPr>
        <w:t>投标人应按要求提交资格证明文件及符合招标文件规定的文件。</w:t>
      </w:r>
    </w:p>
    <w:p>
      <w:pPr>
        <w:pStyle w:val="28"/>
        <w:rPr>
          <w:rFonts w:ascii="宋体" w:hAnsi="宋体" w:cs="宋体"/>
        </w:rPr>
      </w:pPr>
      <w:r>
        <w:rPr>
          <w:rFonts w:hint="eastAsia" w:ascii="宋体" w:hAnsi="宋体" w:cs="宋体"/>
        </w:rPr>
        <w:t>11.2投标人应具有资格参加投标和中标后有能力独立履行合同的能力。</w:t>
      </w:r>
    </w:p>
    <w:p>
      <w:pPr>
        <w:pStyle w:val="28"/>
        <w:rPr>
          <w:rFonts w:ascii="宋体" w:hAnsi="宋体" w:cs="宋体"/>
        </w:rPr>
      </w:pPr>
      <w:r>
        <w:rPr>
          <w:rFonts w:hint="eastAsia" w:ascii="宋体" w:hAnsi="宋体" w:cs="宋体"/>
        </w:rPr>
        <w:t>11.3投标人除必须具有履行合同所需提供的货物以及服务的能力外，还必须具备相应的财务、技术方面的能力。</w:t>
      </w:r>
    </w:p>
    <w:p>
      <w:pPr>
        <w:pStyle w:val="28"/>
        <w:rPr>
          <w:rFonts w:ascii="宋体" w:hAnsi="宋体" w:cs="宋体"/>
        </w:rPr>
      </w:pPr>
      <w:r>
        <w:rPr>
          <w:rFonts w:hint="eastAsia" w:ascii="宋体" w:hAnsi="宋体" w:cs="宋体"/>
        </w:rPr>
        <w:t>11.4投标人应提交根据采购项目要求提供的证明产品质量合格以及符合招标文件规定的证明文件。</w:t>
      </w:r>
    </w:p>
    <w:p>
      <w:pPr>
        <w:pStyle w:val="28"/>
        <w:rPr>
          <w:rFonts w:ascii="宋体" w:hAnsi="宋体" w:cs="宋体"/>
        </w:rPr>
      </w:pPr>
      <w:r>
        <w:rPr>
          <w:rFonts w:hint="eastAsia" w:ascii="宋体" w:hAnsi="宋体" w:cs="宋体"/>
        </w:rPr>
        <w:t>11.5证明投标人所提供货物与招标文件的要求相一致的文件可以是样品、手册、图纸、文字资料和数据</w:t>
      </w:r>
      <w:r>
        <w:rPr>
          <w:rFonts w:hint="eastAsia" w:ascii="宋体" w:hAnsi="宋体" w:cs="宋体"/>
          <w:bCs/>
        </w:rPr>
        <w:t>。</w:t>
      </w:r>
    </w:p>
    <w:bookmarkEnd w:id="77"/>
    <w:bookmarkEnd w:id="78"/>
    <w:bookmarkEnd w:id="79"/>
    <w:p>
      <w:pPr>
        <w:pStyle w:val="28"/>
        <w:rPr>
          <w:rFonts w:ascii="宋体" w:hAnsi="宋体" w:cs="宋体"/>
          <w:b/>
          <w:bCs/>
        </w:rPr>
      </w:pPr>
      <w:bookmarkStart w:id="81" w:name="_Toc14577355"/>
      <w:bookmarkStart w:id="82" w:name="_Toc49090508"/>
      <w:r>
        <w:rPr>
          <w:rFonts w:hint="eastAsia" w:ascii="宋体" w:hAnsi="宋体" w:cs="宋体"/>
          <w:b/>
          <w:bCs/>
        </w:rPr>
        <w:t>12.供货一览表与分项报价</w:t>
      </w:r>
      <w:bookmarkEnd w:id="81"/>
      <w:bookmarkStart w:id="83" w:name="_Hlt26670373"/>
      <w:bookmarkEnd w:id="83"/>
      <w:r>
        <w:rPr>
          <w:rFonts w:hint="eastAsia" w:ascii="宋体" w:hAnsi="宋体" w:cs="宋体"/>
          <w:b/>
          <w:bCs/>
        </w:rPr>
        <w:t>表</w:t>
      </w:r>
      <w:bookmarkEnd w:id="82"/>
    </w:p>
    <w:p>
      <w:pPr>
        <w:pStyle w:val="28"/>
        <w:rPr>
          <w:rFonts w:ascii="宋体" w:hAnsi="宋体" w:cs="宋体"/>
          <w:bCs/>
        </w:rPr>
      </w:pPr>
      <w:r>
        <w:rPr>
          <w:rFonts w:hint="eastAsia" w:ascii="宋体" w:hAnsi="宋体" w:cs="宋体"/>
        </w:rPr>
        <w:t>投</w:t>
      </w:r>
      <w:bookmarkStart w:id="84" w:name="_Hlt26954840"/>
      <w:bookmarkEnd w:id="84"/>
      <w:r>
        <w:rPr>
          <w:rFonts w:hint="eastAsia" w:ascii="宋体" w:hAnsi="宋体" w:cs="宋体"/>
        </w:rPr>
        <w:t>标人应按照招标文件规定格式填报供货一览表与分项报价表</w:t>
      </w:r>
      <w:bookmarkStart w:id="85" w:name="_Hlt26670399"/>
      <w:bookmarkEnd w:id="85"/>
      <w:r>
        <w:rPr>
          <w:rFonts w:hint="eastAsia" w:ascii="宋体" w:hAnsi="宋体" w:cs="宋体"/>
        </w:rPr>
        <w:t>。每项货物和服务等只允许有一个报价，任何有选择的报价将不予接受(如有备选配件，备选配件的报价不属于选择的报价)。</w:t>
      </w:r>
    </w:p>
    <w:p>
      <w:pPr>
        <w:pStyle w:val="28"/>
        <w:rPr>
          <w:rFonts w:ascii="宋体" w:hAnsi="宋体" w:cs="宋体"/>
          <w:bCs/>
        </w:rPr>
      </w:pPr>
      <w:r>
        <w:rPr>
          <w:rFonts w:hint="eastAsia" w:ascii="宋体" w:hAnsi="宋体" w:cs="宋体"/>
        </w:rPr>
        <w:t>12.3</w:t>
      </w:r>
      <w:r>
        <w:rPr>
          <w:rFonts w:hint="eastAsia" w:ascii="宋体" w:hAnsi="宋体" w:cs="宋体"/>
          <w:bCs/>
        </w:rPr>
        <w:t>有关费用处理</w:t>
      </w:r>
    </w:p>
    <w:p>
      <w:pPr>
        <w:pStyle w:val="28"/>
        <w:rPr>
          <w:rFonts w:ascii="宋体" w:hAnsi="宋体" w:cs="宋体"/>
          <w:bCs/>
        </w:rPr>
      </w:pPr>
      <w:r>
        <w:rPr>
          <w:rFonts w:hint="eastAsia" w:ascii="宋体" w:hAnsi="宋体" w:cs="宋体"/>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pStyle w:val="28"/>
        <w:rPr>
          <w:rFonts w:ascii="宋体" w:hAnsi="宋体" w:cs="宋体"/>
          <w:bCs/>
        </w:rPr>
      </w:pPr>
      <w:r>
        <w:rPr>
          <w:rFonts w:hint="eastAsia" w:ascii="宋体" w:hAnsi="宋体" w:cs="宋体"/>
        </w:rPr>
        <w:t>12.4</w:t>
      </w:r>
      <w:r>
        <w:rPr>
          <w:rFonts w:hint="eastAsia" w:ascii="宋体" w:hAnsi="宋体" w:cs="宋体"/>
          <w:bCs/>
        </w:rPr>
        <w:t>其它费用处理</w:t>
      </w:r>
    </w:p>
    <w:p>
      <w:pPr>
        <w:pStyle w:val="28"/>
        <w:rPr>
          <w:rFonts w:ascii="宋体" w:hAnsi="宋体" w:cs="宋体"/>
          <w:bCs/>
        </w:rPr>
      </w:pPr>
      <w:r>
        <w:rPr>
          <w:rFonts w:hint="eastAsia" w:ascii="宋体" w:hAnsi="宋体" w:cs="宋体"/>
          <w:bCs/>
        </w:rPr>
        <w:t>招标文件未列明，而投标人认为必需的费用也需列入报价。</w:t>
      </w:r>
    </w:p>
    <w:p>
      <w:pPr>
        <w:pStyle w:val="28"/>
        <w:rPr>
          <w:rFonts w:ascii="宋体" w:hAnsi="宋体" w:cs="宋体"/>
        </w:rPr>
      </w:pPr>
      <w:r>
        <w:rPr>
          <w:rFonts w:hint="eastAsia" w:ascii="宋体" w:hAnsi="宋体" w:cs="宋体"/>
        </w:rPr>
        <w:t>12.5</w:t>
      </w:r>
      <w:r>
        <w:rPr>
          <w:rFonts w:hint="eastAsia" w:ascii="宋体" w:hAnsi="宋体" w:cs="宋体"/>
          <w:bCs/>
        </w:rPr>
        <w:t xml:space="preserve"> 投标配置与分项报价表上的价格应按下列方式分开填写</w:t>
      </w:r>
      <w:r>
        <w:rPr>
          <w:rFonts w:hint="eastAsia" w:ascii="宋体" w:hAnsi="宋体" w:cs="宋体"/>
        </w:rPr>
        <w:t>：</w:t>
      </w:r>
    </w:p>
    <w:p>
      <w:pPr>
        <w:pStyle w:val="28"/>
        <w:rPr>
          <w:rFonts w:ascii="宋体" w:hAnsi="宋体" w:cs="宋体"/>
          <w:bCs/>
        </w:rPr>
      </w:pPr>
      <w:bookmarkStart w:id="86" w:name="_Hlt26954842"/>
      <w:bookmarkEnd w:id="86"/>
      <w:bookmarkStart w:id="87" w:name="_Hlt26670403"/>
      <w:bookmarkEnd w:id="87"/>
      <w:bookmarkStart w:id="88" w:name="_Hlt26670425"/>
      <w:bookmarkEnd w:id="88"/>
      <w:bookmarkStart w:id="89" w:name="_Hlt26954844"/>
      <w:bookmarkEnd w:id="89"/>
      <w:bookmarkStart w:id="90" w:name="_Hlt26668983"/>
      <w:bookmarkEnd w:id="90"/>
      <w:r>
        <w:rPr>
          <w:rFonts w:hint="eastAsia" w:ascii="宋体" w:hAnsi="宋体" w:cs="宋体"/>
          <w:bCs/>
        </w:rPr>
        <w:t>（1）</w:t>
      </w:r>
      <w:r>
        <w:rPr>
          <w:rFonts w:hint="eastAsia" w:ascii="宋体" w:hAnsi="宋体" w:cs="宋体"/>
        </w:rPr>
        <w:t>项目总价：包括</w:t>
      </w:r>
      <w:r>
        <w:rPr>
          <w:rFonts w:hint="eastAsia" w:ascii="宋体" w:hAnsi="宋体" w:cs="宋体"/>
          <w:bCs/>
        </w:rPr>
        <w:t>买方需求的货物价格</w:t>
      </w:r>
      <w:r>
        <w:rPr>
          <w:rFonts w:hint="eastAsia" w:ascii="宋体" w:hAnsi="宋体" w:cs="宋体"/>
        </w:rPr>
        <w:t>、</w:t>
      </w:r>
      <w:r>
        <w:rPr>
          <w:rFonts w:hint="eastAsia" w:ascii="宋体" w:hAnsi="宋体" w:cs="宋体"/>
          <w:bCs/>
        </w:rPr>
        <w:t>质量保证费用、培训费用及售后服务费用，项目在指定地点、环境交付、安装、调试、验收所需费用和所有</w:t>
      </w:r>
      <w:r>
        <w:rPr>
          <w:rFonts w:hint="eastAsia" w:ascii="宋体" w:hAnsi="宋体" w:cs="宋体"/>
        </w:rPr>
        <w:t>相关税金费用</w:t>
      </w:r>
      <w:r>
        <w:rPr>
          <w:rFonts w:hint="eastAsia" w:ascii="宋体" w:hAnsi="宋体" w:cs="宋体"/>
          <w:bCs/>
        </w:rPr>
        <w:t>及为完成整个项目所产生的其它所有费用。</w:t>
      </w:r>
    </w:p>
    <w:p>
      <w:pPr>
        <w:pStyle w:val="28"/>
        <w:rPr>
          <w:rFonts w:ascii="宋体" w:hAnsi="宋体" w:cs="宋体"/>
          <w:bCs/>
        </w:rPr>
      </w:pPr>
      <w:r>
        <w:rPr>
          <w:rFonts w:hint="eastAsia" w:ascii="宋体" w:hAnsi="宋体" w:cs="宋体"/>
        </w:rPr>
        <w:t>（2）</w:t>
      </w:r>
      <w:r>
        <w:rPr>
          <w:rFonts w:hint="eastAsia" w:ascii="宋体" w:hAnsi="宋体" w:cs="宋体"/>
          <w:bCs/>
        </w:rPr>
        <w:t>项目单价按投标配置及分项报价表中要求填报。</w:t>
      </w:r>
    </w:p>
    <w:p>
      <w:pPr>
        <w:pStyle w:val="28"/>
        <w:rPr>
          <w:rFonts w:ascii="宋体" w:hAnsi="宋体" w:cs="宋体"/>
          <w:b/>
          <w:bCs/>
        </w:rPr>
      </w:pPr>
      <w:bookmarkStart w:id="91" w:name="_Hlt26670482"/>
      <w:bookmarkEnd w:id="91"/>
      <w:bookmarkStart w:id="92" w:name="_Hlt26954846"/>
      <w:bookmarkEnd w:id="92"/>
      <w:bookmarkStart w:id="93" w:name="_Hlt26954731"/>
      <w:bookmarkEnd w:id="93"/>
      <w:bookmarkStart w:id="94" w:name="_Hlt26670486"/>
      <w:bookmarkEnd w:id="94"/>
      <w:bookmarkStart w:id="95" w:name="_Hlt26954848"/>
      <w:bookmarkEnd w:id="95"/>
      <w:r>
        <w:rPr>
          <w:rFonts w:hint="eastAsia" w:ascii="宋体" w:hAnsi="宋体" w:cs="宋体"/>
          <w:b/>
          <w:bCs/>
        </w:rPr>
        <w:t>13.技术参数响应及偏离表和投标货物说明</w:t>
      </w:r>
    </w:p>
    <w:p>
      <w:pPr>
        <w:pStyle w:val="28"/>
        <w:rPr>
          <w:rFonts w:ascii="宋体" w:hAnsi="宋体" w:cs="宋体"/>
          <w:lang w:val="zh-CN"/>
        </w:rPr>
      </w:pPr>
      <w:r>
        <w:rPr>
          <w:rFonts w:hint="eastAsia" w:ascii="宋体" w:hAnsi="宋体" w:cs="宋体"/>
          <w:bCs/>
          <w:lang w:val="zh-CN"/>
        </w:rPr>
        <w:t>13.1</w:t>
      </w:r>
      <w:r>
        <w:rPr>
          <w:rFonts w:hint="eastAsia" w:ascii="宋体" w:hAnsi="宋体" w:cs="宋体"/>
          <w:lang w:val="zh-CN"/>
        </w:rPr>
        <w:t xml:space="preserve"> 对招标文件中的技术与商务条款要求逐项作出响应或偏离，并说明原因；</w:t>
      </w:r>
    </w:p>
    <w:p>
      <w:pPr>
        <w:pStyle w:val="28"/>
        <w:rPr>
          <w:rFonts w:ascii="宋体" w:hAnsi="宋体" w:cs="宋体"/>
          <w:lang w:val="zh-CN"/>
        </w:rPr>
      </w:pPr>
      <w:r>
        <w:rPr>
          <w:rFonts w:hint="eastAsia" w:ascii="宋体" w:hAnsi="宋体" w:cs="宋体"/>
          <w:lang w:val="zh-CN"/>
        </w:rPr>
        <w:t>13.2 详细阐述所投货物的主要组成部分、功能设计、实现思路及关键技术；</w:t>
      </w:r>
    </w:p>
    <w:p>
      <w:pPr>
        <w:pStyle w:val="28"/>
        <w:rPr>
          <w:rFonts w:ascii="宋体" w:hAnsi="宋体" w:cs="宋体"/>
          <w:lang w:val="zh-CN"/>
        </w:rPr>
      </w:pPr>
      <w:r>
        <w:rPr>
          <w:rFonts w:hint="eastAsia" w:ascii="宋体" w:hAnsi="宋体" w:cs="宋体"/>
          <w:lang w:val="zh-CN"/>
        </w:rPr>
        <w:t>13.3 投标人认为需要的其他技术文件或说明。</w:t>
      </w:r>
    </w:p>
    <w:p>
      <w:pPr>
        <w:pStyle w:val="28"/>
        <w:rPr>
          <w:rFonts w:ascii="宋体" w:hAnsi="宋体" w:cs="宋体"/>
          <w:b/>
          <w:bCs/>
        </w:rPr>
      </w:pPr>
      <w:r>
        <w:rPr>
          <w:rFonts w:hint="eastAsia" w:ascii="宋体" w:hAnsi="宋体" w:cs="宋体"/>
          <w:b/>
          <w:bCs/>
        </w:rPr>
        <w:t>14.服务承诺及售后服务机构、人员的情况介绍</w:t>
      </w:r>
    </w:p>
    <w:p>
      <w:pPr>
        <w:pStyle w:val="28"/>
        <w:rPr>
          <w:rFonts w:ascii="宋体" w:hAnsi="宋体" w:cs="宋体"/>
        </w:rPr>
      </w:pPr>
      <w:r>
        <w:rPr>
          <w:rFonts w:hint="eastAsia" w:ascii="宋体" w:hAnsi="宋体" w:cs="宋体"/>
          <w:bCs/>
        </w:rPr>
        <w:t>14.1</w:t>
      </w:r>
      <w:r>
        <w:rPr>
          <w:rFonts w:hint="eastAsia" w:ascii="宋体" w:hAnsi="宋体" w:cs="宋体"/>
        </w:rPr>
        <w:t>投标人的服务承诺应按不低于招标文件中商务要求的标准；</w:t>
      </w:r>
    </w:p>
    <w:p>
      <w:pPr>
        <w:pStyle w:val="28"/>
        <w:rPr>
          <w:rFonts w:ascii="宋体" w:hAnsi="宋体" w:cs="宋体"/>
        </w:rPr>
      </w:pPr>
      <w:r>
        <w:rPr>
          <w:rFonts w:hint="eastAsia" w:ascii="宋体" w:hAnsi="宋体" w:cs="宋体"/>
          <w:bCs/>
        </w:rPr>
        <w:t>14.2</w:t>
      </w:r>
      <w:r>
        <w:rPr>
          <w:rFonts w:hint="eastAsia" w:ascii="宋体" w:hAnsi="宋体" w:cs="宋体"/>
        </w:rPr>
        <w:t>提供投标人有关售后服务的管理制度、售后服务机构的分布情况、售后服务人员的数量、素质、技术水平及售后服务的反应能力；</w:t>
      </w:r>
    </w:p>
    <w:p>
      <w:pPr>
        <w:pStyle w:val="28"/>
        <w:rPr>
          <w:rFonts w:ascii="宋体" w:hAnsi="宋体" w:cs="宋体"/>
          <w:lang w:val="zh-CN"/>
        </w:rPr>
      </w:pPr>
      <w:r>
        <w:rPr>
          <w:rFonts w:hint="eastAsia" w:ascii="宋体" w:hAnsi="宋体" w:cs="宋体"/>
          <w:lang w:val="zh-CN"/>
        </w:rPr>
        <w:t>14.3 培训计划；</w:t>
      </w:r>
    </w:p>
    <w:p>
      <w:pPr>
        <w:pStyle w:val="28"/>
        <w:rPr>
          <w:rFonts w:ascii="宋体" w:hAnsi="宋体" w:cs="宋体"/>
          <w:lang w:val="zh-CN"/>
        </w:rPr>
      </w:pPr>
      <w:r>
        <w:rPr>
          <w:rFonts w:hint="eastAsia" w:ascii="宋体" w:hAnsi="宋体" w:cs="宋体"/>
          <w:lang w:val="zh-CN"/>
        </w:rPr>
        <w:t>14.4 提供参加本项目类似案例简介；</w:t>
      </w:r>
    </w:p>
    <w:p>
      <w:pPr>
        <w:pStyle w:val="28"/>
        <w:rPr>
          <w:rFonts w:ascii="宋体" w:hAnsi="宋体" w:cs="宋体"/>
          <w:b/>
          <w:bCs/>
        </w:rPr>
      </w:pPr>
      <w:bookmarkStart w:id="96" w:name="_Toc14577359"/>
      <w:bookmarkStart w:id="97" w:name="_Toc49090510"/>
      <w:r>
        <w:rPr>
          <w:rFonts w:hint="eastAsia" w:ascii="宋体" w:hAnsi="宋体" w:cs="宋体"/>
          <w:b/>
          <w:bCs/>
        </w:rPr>
        <w:t>15.投标函和开标一览表</w:t>
      </w:r>
    </w:p>
    <w:p>
      <w:pPr>
        <w:pStyle w:val="28"/>
        <w:rPr>
          <w:rFonts w:ascii="宋体" w:hAnsi="宋体" w:cs="宋体"/>
        </w:rPr>
      </w:pPr>
      <w:r>
        <w:rPr>
          <w:rFonts w:hint="eastAsia" w:ascii="宋体" w:hAnsi="宋体" w:cs="宋体"/>
          <w:bCs/>
        </w:rPr>
        <w:t>15.1</w:t>
      </w:r>
      <w:r>
        <w:rPr>
          <w:rFonts w:hint="eastAsia" w:ascii="宋体" w:hAnsi="宋体" w:cs="宋体"/>
        </w:rPr>
        <w:t xml:space="preserve"> 投标人应按照招标文件中提供的格式完整、正确填写投标函、开标一览表。</w:t>
      </w:r>
    </w:p>
    <w:p>
      <w:pPr>
        <w:pStyle w:val="28"/>
        <w:rPr>
          <w:rFonts w:ascii="宋体" w:hAnsi="宋体" w:cs="宋体"/>
        </w:rPr>
      </w:pPr>
      <w:r>
        <w:rPr>
          <w:rFonts w:hint="eastAsia" w:ascii="宋体" w:hAnsi="宋体" w:cs="宋体"/>
          <w:bCs/>
        </w:rPr>
        <w:t>15.2</w:t>
      </w:r>
      <w:r>
        <w:rPr>
          <w:rFonts w:hint="eastAsia" w:ascii="宋体" w:hAnsi="宋体" w:cs="宋体"/>
        </w:rPr>
        <w:t xml:space="preserve"> </w:t>
      </w:r>
      <w:r>
        <w:rPr>
          <w:rFonts w:hint="eastAsia" w:ascii="宋体" w:hAnsi="宋体" w:cs="宋体"/>
          <w:bCs/>
        </w:rPr>
        <w:t>开标一览表中的价格应与投标文件中投标配置与分项报价表中的价格一致，如不一致，评标时按开标一览表中价格为准</w:t>
      </w:r>
      <w:r>
        <w:rPr>
          <w:rFonts w:hint="eastAsia" w:ascii="宋体" w:hAnsi="宋体" w:cs="宋体"/>
          <w:b/>
          <w:bCs/>
        </w:rPr>
        <w:t>。</w:t>
      </w:r>
    </w:p>
    <w:p>
      <w:pPr>
        <w:pStyle w:val="28"/>
        <w:rPr>
          <w:rFonts w:ascii="宋体" w:hAnsi="宋体" w:cs="宋体"/>
          <w:i/>
          <w:color w:val="FF0000"/>
          <w:u w:val="single"/>
        </w:rPr>
      </w:pPr>
      <w:r>
        <w:rPr>
          <w:rFonts w:hint="eastAsia" w:ascii="宋体" w:hAnsi="宋体" w:cs="宋体"/>
          <w:bCs/>
          <w:color w:val="FF0000"/>
        </w:rPr>
        <w:t>15.3</w:t>
      </w:r>
      <w:r>
        <w:rPr>
          <w:rFonts w:hint="eastAsia" w:ascii="宋体" w:hAnsi="宋体" w:cs="宋体"/>
          <w:color w:val="FF0000"/>
        </w:rPr>
        <w:t xml:space="preserve"> </w:t>
      </w:r>
      <w:r>
        <w:rPr>
          <w:rFonts w:hint="eastAsia" w:ascii="宋体" w:hAnsi="宋体" w:cs="宋体"/>
          <w:i/>
          <w:color w:val="FF0000"/>
          <w:u w:val="single"/>
        </w:rPr>
        <w:t>开标一览表必须加</w:t>
      </w:r>
      <w:r>
        <w:rPr>
          <w:rFonts w:hint="eastAsia" w:ascii="宋体" w:hAnsi="宋体" w:cs="宋体"/>
          <w:bCs/>
          <w:i/>
          <w:iCs/>
          <w:color w:val="FF0000"/>
          <w:u w:val="single"/>
        </w:rPr>
        <w:t>盖投标人公章（复印件无效），必须</w:t>
      </w:r>
      <w:r>
        <w:rPr>
          <w:rFonts w:hint="eastAsia" w:ascii="宋体" w:hAnsi="宋体" w:cs="宋体"/>
          <w:i/>
          <w:color w:val="FF0000"/>
          <w:u w:val="single"/>
        </w:rPr>
        <w:t>单独密封在信封中，在投标截止时间前与投标文件分别递交，否则视为无效投标。</w:t>
      </w:r>
    </w:p>
    <w:p>
      <w:pPr>
        <w:pStyle w:val="28"/>
        <w:rPr>
          <w:rFonts w:ascii="宋体" w:hAnsi="宋体" w:cs="宋体"/>
          <w:b/>
          <w:bCs/>
        </w:rPr>
      </w:pPr>
      <w:r>
        <w:rPr>
          <w:rFonts w:hint="eastAsia" w:ascii="宋体" w:hAnsi="宋体" w:cs="宋体"/>
          <w:b/>
          <w:bCs/>
        </w:rPr>
        <w:t>16.投标保证金</w:t>
      </w:r>
      <w:bookmarkEnd w:id="96"/>
      <w:bookmarkEnd w:id="97"/>
    </w:p>
    <w:p>
      <w:pPr>
        <w:pStyle w:val="28"/>
        <w:rPr>
          <w:rFonts w:ascii="宋体" w:hAnsi="宋体" w:cs="宋体"/>
          <w:bCs/>
        </w:rPr>
      </w:pPr>
      <w:r>
        <w:rPr>
          <w:rFonts w:hint="eastAsia" w:ascii="宋体" w:hAnsi="宋体" w:cs="宋体"/>
        </w:rPr>
        <w:t>16.1</w:t>
      </w:r>
      <w:r>
        <w:rPr>
          <w:rFonts w:hint="eastAsia" w:ascii="宋体" w:hAnsi="宋体" w:cs="宋体"/>
          <w:bCs/>
        </w:rPr>
        <w:t>在开标时，未按要求提交投标保证金的投标无效。</w:t>
      </w:r>
    </w:p>
    <w:p>
      <w:pPr>
        <w:pStyle w:val="28"/>
        <w:rPr>
          <w:rFonts w:ascii="宋体" w:hAnsi="宋体" w:cs="宋体"/>
          <w:bCs/>
        </w:rPr>
      </w:pPr>
      <w:r>
        <w:rPr>
          <w:rFonts w:hint="eastAsia" w:ascii="宋体" w:hAnsi="宋体" w:cs="宋体"/>
        </w:rPr>
        <w:t>16.2</w:t>
      </w:r>
      <w:r>
        <w:rPr>
          <w:rFonts w:hint="eastAsia" w:ascii="宋体" w:hAnsi="宋体" w:cs="宋体"/>
          <w:bCs/>
        </w:rPr>
        <w:t>未中标的投标人的投标保证金，将在中标通知书发出之日起5个工作日内退还，不计利息。</w:t>
      </w:r>
    </w:p>
    <w:p>
      <w:pPr>
        <w:pStyle w:val="28"/>
        <w:rPr>
          <w:rFonts w:ascii="宋体" w:hAnsi="宋体" w:cs="宋体"/>
          <w:bCs/>
        </w:rPr>
      </w:pPr>
      <w:r>
        <w:rPr>
          <w:rFonts w:hint="eastAsia" w:ascii="宋体" w:hAnsi="宋体" w:cs="宋体"/>
        </w:rPr>
        <w:t>16.3</w:t>
      </w:r>
      <w:r>
        <w:rPr>
          <w:rFonts w:hint="eastAsia" w:ascii="宋体" w:hAnsi="宋体" w:cs="宋体"/>
          <w:bCs/>
        </w:rPr>
        <w:t xml:space="preserve"> 下列任何情况发生时，投标保证金将不予退还：</w:t>
      </w:r>
    </w:p>
    <w:p>
      <w:pPr>
        <w:pStyle w:val="28"/>
        <w:rPr>
          <w:rFonts w:ascii="宋体" w:hAnsi="宋体" w:cs="宋体"/>
          <w:bCs/>
        </w:rPr>
      </w:pPr>
      <w:r>
        <w:rPr>
          <w:rFonts w:hint="eastAsia" w:ascii="宋体" w:hAnsi="宋体" w:cs="宋体"/>
          <w:bCs/>
        </w:rPr>
        <w:t>（1）投标人在投标有效期内撤回其投标；</w:t>
      </w:r>
    </w:p>
    <w:p>
      <w:pPr>
        <w:pStyle w:val="28"/>
        <w:rPr>
          <w:rFonts w:ascii="宋体" w:hAnsi="宋体" w:cs="宋体"/>
          <w:bCs/>
        </w:rPr>
      </w:pPr>
      <w:r>
        <w:rPr>
          <w:rFonts w:hint="eastAsia" w:ascii="宋体" w:hAnsi="宋体" w:cs="宋体"/>
          <w:bCs/>
        </w:rPr>
        <w:t>（2）投标人提供的有关资料、资格证明文件被确认是不真实的；</w:t>
      </w:r>
    </w:p>
    <w:p>
      <w:pPr>
        <w:pStyle w:val="28"/>
        <w:rPr>
          <w:rFonts w:ascii="宋体" w:hAnsi="宋体" w:cs="宋体"/>
        </w:rPr>
      </w:pPr>
      <w:r>
        <w:rPr>
          <w:rFonts w:hint="eastAsia" w:ascii="宋体" w:hAnsi="宋体" w:cs="宋体"/>
        </w:rPr>
        <w:t>（3）投标人之间被证实有串通（统一哄抬价格）、欺诈行为；</w:t>
      </w:r>
    </w:p>
    <w:p>
      <w:pPr>
        <w:pStyle w:val="28"/>
        <w:rPr>
          <w:rFonts w:ascii="宋体" w:hAnsi="宋体" w:cs="宋体"/>
        </w:rPr>
      </w:pPr>
      <w:r>
        <w:rPr>
          <w:rFonts w:hint="eastAsia" w:ascii="宋体" w:hAnsi="宋体" w:cs="宋体"/>
        </w:rPr>
        <w:t>（4）投标人被证明有妨碍其他人公平竞争、损害采购人或者其他投标人合法权益的；</w:t>
      </w:r>
    </w:p>
    <w:p>
      <w:pPr>
        <w:pStyle w:val="28"/>
        <w:rPr>
          <w:rFonts w:ascii="宋体" w:hAnsi="宋体" w:cs="宋体"/>
          <w:b/>
          <w:bCs/>
        </w:rPr>
      </w:pPr>
      <w:bookmarkStart w:id="98" w:name="_Hlt26954850"/>
      <w:bookmarkEnd w:id="98"/>
      <w:bookmarkStart w:id="99" w:name="_Hlt26954852"/>
      <w:bookmarkEnd w:id="99"/>
      <w:bookmarkStart w:id="100" w:name="_Hlt26670489"/>
      <w:bookmarkEnd w:id="100"/>
      <w:bookmarkStart w:id="101" w:name="_Hlt26954739"/>
      <w:bookmarkEnd w:id="101"/>
      <w:bookmarkStart w:id="102" w:name="_Hlt26954734"/>
      <w:bookmarkEnd w:id="102"/>
      <w:bookmarkStart w:id="103" w:name="_Toc49090512"/>
      <w:bookmarkStart w:id="104" w:name="_Toc14577361"/>
      <w:r>
        <w:rPr>
          <w:rFonts w:hint="eastAsia" w:ascii="宋体" w:hAnsi="宋体" w:cs="宋体"/>
          <w:b/>
          <w:bCs/>
        </w:rPr>
        <w:t>17.投标文件份数和签署</w:t>
      </w:r>
      <w:bookmarkEnd w:id="103"/>
      <w:bookmarkEnd w:id="104"/>
    </w:p>
    <w:p>
      <w:pPr>
        <w:pStyle w:val="28"/>
        <w:rPr>
          <w:rFonts w:ascii="宋体" w:hAnsi="宋体" w:cs="宋体"/>
          <w:bCs/>
        </w:rPr>
      </w:pPr>
      <w:r>
        <w:rPr>
          <w:rFonts w:hint="eastAsia" w:ascii="宋体" w:hAnsi="宋体" w:cs="宋体"/>
        </w:rPr>
        <w:t>17.1</w:t>
      </w:r>
      <w:r>
        <w:rPr>
          <w:rFonts w:hint="eastAsia" w:ascii="宋体" w:hAnsi="宋体" w:cs="宋体"/>
          <w:b/>
        </w:rPr>
        <w:t xml:space="preserve"> </w:t>
      </w:r>
      <w:r>
        <w:rPr>
          <w:rFonts w:hint="eastAsia" w:ascii="宋体" w:hAnsi="宋体" w:cs="宋体"/>
          <w:bCs/>
        </w:rPr>
        <w:t>投标人应严格按照招标公告要求的份数准备投标文件，每份投标文件须清楚地标明“正本”或“副本”字样。一旦正本和副本不符，以正本为准。</w:t>
      </w:r>
    </w:p>
    <w:p>
      <w:pPr>
        <w:pStyle w:val="28"/>
        <w:rPr>
          <w:rFonts w:ascii="宋体" w:hAnsi="宋体" w:cs="宋体"/>
        </w:rPr>
      </w:pPr>
      <w:r>
        <w:rPr>
          <w:rFonts w:hint="eastAsia" w:ascii="宋体" w:hAnsi="宋体" w:cs="宋体"/>
        </w:rPr>
        <w:t>17.2投标文件的正本须经法定代表人或授权代表签署和加盖投标人公章。</w:t>
      </w:r>
    </w:p>
    <w:p>
      <w:pPr>
        <w:pStyle w:val="28"/>
        <w:rPr>
          <w:rFonts w:ascii="宋体" w:hAnsi="宋体" w:cs="宋体"/>
          <w:b/>
        </w:rPr>
      </w:pPr>
      <w:bookmarkStart w:id="105" w:name="_Toc20823296"/>
      <w:bookmarkStart w:id="106" w:name="_Toc517190885"/>
      <w:bookmarkStart w:id="107" w:name="_Toc120614217"/>
      <w:bookmarkStart w:id="108" w:name="_Toc513029224"/>
      <w:bookmarkStart w:id="109" w:name="_Toc16938540"/>
      <w:r>
        <w:rPr>
          <w:rFonts w:hint="eastAsia" w:ascii="宋体" w:hAnsi="宋体" w:cs="宋体"/>
          <w:b/>
        </w:rPr>
        <w:t>四、投标文件的递交</w:t>
      </w:r>
      <w:bookmarkEnd w:id="105"/>
      <w:bookmarkEnd w:id="106"/>
      <w:bookmarkEnd w:id="107"/>
      <w:bookmarkEnd w:id="108"/>
      <w:bookmarkEnd w:id="109"/>
    </w:p>
    <w:p>
      <w:pPr>
        <w:pStyle w:val="28"/>
        <w:rPr>
          <w:rFonts w:ascii="宋体" w:hAnsi="宋体" w:cs="宋体"/>
          <w:b/>
          <w:bCs/>
        </w:rPr>
      </w:pPr>
      <w:bookmarkStart w:id="110" w:name="_Toc20823297"/>
      <w:bookmarkStart w:id="111" w:name="_Toc462564084"/>
      <w:bookmarkStart w:id="112" w:name="_Toc16938541"/>
      <w:bookmarkStart w:id="113" w:name="_Toc513029225"/>
      <w:r>
        <w:rPr>
          <w:rFonts w:hint="eastAsia" w:ascii="宋体" w:hAnsi="宋体" w:cs="宋体"/>
          <w:b/>
          <w:bCs/>
        </w:rPr>
        <w:t>18.投标文件的密封和标记</w:t>
      </w:r>
      <w:bookmarkEnd w:id="110"/>
      <w:bookmarkEnd w:id="111"/>
      <w:bookmarkEnd w:id="112"/>
      <w:bookmarkEnd w:id="113"/>
    </w:p>
    <w:p>
      <w:pPr>
        <w:pStyle w:val="28"/>
        <w:rPr>
          <w:rFonts w:ascii="宋体" w:hAnsi="宋体" w:cs="宋体"/>
          <w:bCs/>
        </w:rPr>
      </w:pPr>
      <w:r>
        <w:rPr>
          <w:rFonts w:hint="eastAsia" w:ascii="宋体" w:hAnsi="宋体" w:cs="宋体"/>
        </w:rPr>
        <w:t>18.1</w:t>
      </w:r>
      <w:r>
        <w:rPr>
          <w:rFonts w:hint="eastAsia" w:ascii="宋体" w:hAnsi="宋体" w:cs="宋体"/>
          <w:bCs/>
        </w:rPr>
        <w:t>投标人应将投标文件正本和所有副本密封，不论投标人中标与否，投标文件均不退回。</w:t>
      </w:r>
    </w:p>
    <w:p>
      <w:pPr>
        <w:pStyle w:val="28"/>
        <w:rPr>
          <w:rFonts w:ascii="宋体" w:hAnsi="宋体" w:cs="宋体"/>
          <w:bCs/>
        </w:rPr>
      </w:pPr>
      <w:r>
        <w:rPr>
          <w:rFonts w:hint="eastAsia" w:ascii="宋体" w:hAnsi="宋体" w:cs="宋体"/>
        </w:rPr>
        <w:t>18.2</w:t>
      </w:r>
      <w:r>
        <w:rPr>
          <w:rFonts w:hint="eastAsia" w:ascii="宋体" w:hAnsi="宋体" w:cs="宋体"/>
          <w:bCs/>
        </w:rPr>
        <w:t xml:space="preserve"> 密封的投标文件应：</w:t>
      </w:r>
    </w:p>
    <w:p>
      <w:pPr>
        <w:pStyle w:val="28"/>
        <w:rPr>
          <w:rFonts w:ascii="宋体" w:hAnsi="宋体" w:cs="宋体"/>
          <w:bCs/>
        </w:rPr>
      </w:pPr>
      <w:r>
        <w:rPr>
          <w:rFonts w:hint="eastAsia" w:ascii="宋体" w:hAnsi="宋体" w:cs="宋体"/>
          <w:bCs/>
        </w:rPr>
        <w:t>（1）注明投标人名称，如因标注不清而产生的后果由投标人自负。</w:t>
      </w:r>
    </w:p>
    <w:p>
      <w:pPr>
        <w:pStyle w:val="28"/>
        <w:rPr>
          <w:rFonts w:ascii="宋体" w:hAnsi="宋体" w:cs="宋体"/>
          <w:bCs/>
        </w:rPr>
      </w:pPr>
      <w:r>
        <w:rPr>
          <w:rFonts w:hint="eastAsia" w:ascii="宋体" w:hAnsi="宋体" w:cs="宋体"/>
          <w:bCs/>
        </w:rPr>
        <w:t>（2）注明投标项目名称、标书编号及包号。</w:t>
      </w:r>
    </w:p>
    <w:p>
      <w:pPr>
        <w:pStyle w:val="28"/>
        <w:ind w:firstLine="360" w:firstLineChars="150"/>
        <w:rPr>
          <w:rFonts w:ascii="宋体" w:hAnsi="宋体" w:cs="宋体"/>
          <w:bCs/>
        </w:rPr>
      </w:pPr>
      <w:r>
        <w:rPr>
          <w:rFonts w:hint="eastAsia" w:ascii="宋体" w:hAnsi="宋体" w:cs="宋体"/>
          <w:bCs/>
        </w:rPr>
        <w:t>（3）未按要求密封和加写标记，采购人对误投或过早启封概不负责。对由此造成提前开封的投标文件，采购人将予以拒绝，作无效投标处理。</w:t>
      </w:r>
    </w:p>
    <w:p>
      <w:pPr>
        <w:pStyle w:val="28"/>
        <w:rPr>
          <w:rFonts w:ascii="宋体" w:hAnsi="宋体" w:cs="宋体"/>
          <w:b/>
          <w:bCs/>
        </w:rPr>
      </w:pPr>
      <w:bookmarkStart w:id="114" w:name="_Toc16938542"/>
      <w:bookmarkStart w:id="115" w:name="_Toc20823298"/>
      <w:bookmarkStart w:id="116" w:name="_Toc513029226"/>
      <w:r>
        <w:rPr>
          <w:rFonts w:hint="eastAsia" w:ascii="宋体" w:hAnsi="宋体" w:cs="宋体"/>
          <w:b/>
          <w:bCs/>
        </w:rPr>
        <w:t>19.投标截止</w:t>
      </w:r>
      <w:bookmarkEnd w:id="114"/>
      <w:bookmarkEnd w:id="115"/>
      <w:bookmarkEnd w:id="116"/>
      <w:r>
        <w:rPr>
          <w:rFonts w:hint="eastAsia" w:ascii="宋体" w:hAnsi="宋体" w:cs="宋体"/>
          <w:b/>
          <w:bCs/>
        </w:rPr>
        <w:t>时间</w:t>
      </w:r>
    </w:p>
    <w:p>
      <w:pPr>
        <w:pStyle w:val="28"/>
        <w:rPr>
          <w:rFonts w:ascii="宋体" w:hAnsi="宋体" w:cs="宋体"/>
          <w:bCs/>
        </w:rPr>
      </w:pPr>
      <w:r>
        <w:rPr>
          <w:rFonts w:hint="eastAsia" w:ascii="宋体" w:hAnsi="宋体" w:cs="宋体"/>
        </w:rPr>
        <w:t>19.1</w:t>
      </w:r>
      <w:r>
        <w:rPr>
          <w:rFonts w:hint="eastAsia" w:ascii="宋体" w:hAnsi="宋体" w:cs="宋体"/>
          <w:bCs/>
        </w:rPr>
        <w:t xml:space="preserve"> 采购人收到投标文件的时间不得迟于招标公告中规定的截止时间。</w:t>
      </w:r>
    </w:p>
    <w:p>
      <w:pPr>
        <w:pStyle w:val="28"/>
        <w:rPr>
          <w:rFonts w:ascii="宋体" w:hAnsi="宋体" w:cs="宋体"/>
          <w:bCs/>
        </w:rPr>
      </w:pPr>
      <w:r>
        <w:rPr>
          <w:rFonts w:hint="eastAsia" w:ascii="宋体" w:hAnsi="宋体" w:cs="宋体"/>
        </w:rPr>
        <w:t>19.2</w:t>
      </w:r>
      <w:r>
        <w:rPr>
          <w:rFonts w:hint="eastAsia" w:ascii="宋体" w:hAnsi="宋体" w:cs="宋体"/>
          <w:bCs/>
        </w:rPr>
        <w:t>采购人可以按照规定，通过修改招标文件酌情延长投标截止日期，在此情况下，投标人的所有权利和义务以及投标人受制的截止日期均应以延长后新的截止日期为准。</w:t>
      </w:r>
    </w:p>
    <w:p>
      <w:pPr>
        <w:pStyle w:val="28"/>
        <w:rPr>
          <w:rFonts w:ascii="宋体" w:hAnsi="宋体" w:cs="宋体"/>
          <w:b/>
          <w:bCs/>
        </w:rPr>
      </w:pPr>
      <w:bookmarkStart w:id="117" w:name="_Toc16938543"/>
      <w:bookmarkStart w:id="118" w:name="_Toc20823299"/>
      <w:bookmarkStart w:id="119" w:name="_Toc513029227"/>
      <w:r>
        <w:rPr>
          <w:rFonts w:hint="eastAsia" w:ascii="宋体" w:hAnsi="宋体" w:cs="宋体"/>
          <w:b/>
          <w:bCs/>
        </w:rPr>
        <w:t>20.投标文件</w:t>
      </w:r>
      <w:bookmarkEnd w:id="117"/>
      <w:bookmarkEnd w:id="118"/>
      <w:bookmarkEnd w:id="119"/>
      <w:r>
        <w:rPr>
          <w:rFonts w:hint="eastAsia" w:ascii="宋体" w:hAnsi="宋体" w:cs="宋体"/>
          <w:b/>
          <w:bCs/>
        </w:rPr>
        <w:t>的递交</w:t>
      </w:r>
    </w:p>
    <w:p>
      <w:pPr>
        <w:pStyle w:val="28"/>
        <w:rPr>
          <w:rFonts w:ascii="宋体" w:hAnsi="宋体" w:cs="宋体"/>
          <w:bCs/>
        </w:rPr>
      </w:pPr>
      <w:r>
        <w:rPr>
          <w:rFonts w:hint="eastAsia" w:ascii="宋体" w:hAnsi="宋体" w:cs="宋体"/>
        </w:rPr>
        <w:t>20.1</w:t>
      </w:r>
      <w:r>
        <w:rPr>
          <w:rFonts w:hint="eastAsia" w:ascii="宋体" w:hAnsi="宋体" w:cs="宋体"/>
          <w:bCs/>
        </w:rPr>
        <w:t>采购人拒绝接收在其规定的投标截止时间后递交的任何投标文件。</w:t>
      </w:r>
    </w:p>
    <w:p>
      <w:pPr>
        <w:pStyle w:val="28"/>
        <w:rPr>
          <w:rFonts w:ascii="宋体" w:hAnsi="宋体" w:cs="宋体"/>
          <w:bCs/>
        </w:rPr>
      </w:pPr>
      <w:r>
        <w:rPr>
          <w:rFonts w:hint="eastAsia" w:ascii="宋体" w:hAnsi="宋体" w:cs="宋体"/>
          <w:bCs/>
        </w:rPr>
        <w:t>20.2未按照招标文件要求的格式编制的投标文件，后果由投标人承担。</w:t>
      </w:r>
    </w:p>
    <w:p>
      <w:pPr>
        <w:pStyle w:val="28"/>
        <w:rPr>
          <w:rFonts w:ascii="宋体" w:hAnsi="宋体" w:cs="宋体"/>
          <w:b/>
          <w:bCs/>
        </w:rPr>
      </w:pPr>
      <w:bookmarkStart w:id="120" w:name="_Toc16938544"/>
      <w:bookmarkStart w:id="121" w:name="_Toc20823300"/>
      <w:bookmarkStart w:id="122" w:name="_Toc513029228"/>
      <w:r>
        <w:rPr>
          <w:rFonts w:hint="eastAsia" w:ascii="宋体" w:hAnsi="宋体" w:cs="宋体"/>
          <w:b/>
          <w:bCs/>
        </w:rPr>
        <w:t>21.投标文件的修改和撤回</w:t>
      </w:r>
      <w:bookmarkEnd w:id="120"/>
      <w:bookmarkEnd w:id="121"/>
      <w:bookmarkEnd w:id="122"/>
    </w:p>
    <w:p>
      <w:pPr>
        <w:pStyle w:val="28"/>
        <w:rPr>
          <w:rFonts w:ascii="宋体" w:hAnsi="宋体" w:cs="宋体"/>
        </w:rPr>
      </w:pPr>
      <w:r>
        <w:rPr>
          <w:rFonts w:hint="eastAsia" w:ascii="宋体" w:hAnsi="宋体" w:cs="宋体"/>
        </w:rPr>
        <w:t>21.1</w:t>
      </w:r>
      <w:r>
        <w:rPr>
          <w:rFonts w:hint="eastAsia" w:ascii="宋体" w:hAnsi="宋体" w:cs="宋体"/>
          <w:bCs/>
        </w:rPr>
        <w:t xml:space="preserve"> 投标人在递交投标文件后，可以修改或撤回其投标文件，但这种修改和撤回，必须在规定的投标截止时间前，以书面形式</w:t>
      </w:r>
      <w:r>
        <w:rPr>
          <w:rFonts w:hint="eastAsia" w:ascii="宋体" w:hAnsi="宋体" w:cs="宋体"/>
        </w:rPr>
        <w:t>通知采购人，修改或撤回其投标文件。</w:t>
      </w:r>
    </w:p>
    <w:p>
      <w:pPr>
        <w:pStyle w:val="28"/>
        <w:rPr>
          <w:rFonts w:ascii="宋体" w:hAnsi="宋体" w:cs="宋体"/>
        </w:rPr>
      </w:pPr>
      <w:r>
        <w:rPr>
          <w:rFonts w:hint="eastAsia" w:ascii="宋体" w:hAnsi="宋体" w:cs="宋体"/>
        </w:rPr>
        <w:t>21.2</w:t>
      </w:r>
      <w:r>
        <w:rPr>
          <w:rFonts w:hint="eastAsia" w:ascii="宋体" w:hAnsi="宋体" w:cs="宋体"/>
          <w:bCs/>
        </w:rPr>
        <w:t xml:space="preserve"> 投标人的修改或撤回文件应按规定进行编制、密封、标记和发送，并应在封套上加注“修改”或“撤回”字样。</w:t>
      </w:r>
      <w:r>
        <w:rPr>
          <w:rFonts w:hint="eastAsia" w:ascii="宋体" w:hAnsi="宋体" w:cs="宋体"/>
        </w:rPr>
        <w:t>上述补充或修改若涉及投标报价，必须注明“最后唯一报价”字样，否则将视为有选择的报价，作为无效投标文件处理。修改文件必须在投标截止时间前送达采购人。</w:t>
      </w:r>
    </w:p>
    <w:p>
      <w:pPr>
        <w:pStyle w:val="28"/>
        <w:rPr>
          <w:rFonts w:ascii="宋体" w:hAnsi="宋体" w:cs="宋体"/>
          <w:bCs/>
        </w:rPr>
      </w:pPr>
      <w:r>
        <w:rPr>
          <w:rFonts w:hint="eastAsia" w:ascii="宋体" w:hAnsi="宋体" w:cs="宋体"/>
        </w:rPr>
        <w:t>21.3</w:t>
      </w:r>
      <w:r>
        <w:rPr>
          <w:rFonts w:hint="eastAsia" w:ascii="宋体" w:hAnsi="宋体" w:cs="宋体"/>
          <w:bCs/>
        </w:rPr>
        <w:t xml:space="preserve"> 在投标截止时间之后，投标人不得对其投标文件作任何修改。</w:t>
      </w:r>
    </w:p>
    <w:p>
      <w:pPr>
        <w:pStyle w:val="28"/>
        <w:rPr>
          <w:rFonts w:ascii="宋体" w:hAnsi="宋体" w:cs="宋体"/>
          <w:bCs/>
        </w:rPr>
      </w:pPr>
      <w:r>
        <w:rPr>
          <w:rFonts w:hint="eastAsia" w:ascii="宋体" w:hAnsi="宋体" w:cs="宋体"/>
        </w:rPr>
        <w:t>21.4</w:t>
      </w:r>
      <w:r>
        <w:rPr>
          <w:rFonts w:hint="eastAsia" w:ascii="宋体" w:hAnsi="宋体" w:cs="宋体"/>
          <w:bCs/>
        </w:rPr>
        <w:t xml:space="preserve"> 在投标截止时间至招标文件中规定的投标有效期满之间的这段时间内，投标人不得撤回其投标，否则其投标保证金将不予退还。</w:t>
      </w:r>
    </w:p>
    <w:p>
      <w:pPr>
        <w:pStyle w:val="28"/>
        <w:rPr>
          <w:rFonts w:ascii="宋体" w:hAnsi="宋体" w:cs="宋体"/>
          <w:b/>
        </w:rPr>
      </w:pPr>
      <w:bookmarkStart w:id="123" w:name="_Toc16938545"/>
      <w:bookmarkStart w:id="124" w:name="_Toc120614218"/>
      <w:bookmarkStart w:id="125" w:name="_Toc517190886"/>
      <w:bookmarkStart w:id="126" w:name="_Toc513029229"/>
      <w:bookmarkStart w:id="127" w:name="_Toc20823301"/>
      <w:r>
        <w:rPr>
          <w:rFonts w:hint="eastAsia" w:ascii="宋体" w:hAnsi="宋体" w:cs="宋体"/>
          <w:b/>
        </w:rPr>
        <w:t>五、开标与评标</w:t>
      </w:r>
      <w:bookmarkEnd w:id="123"/>
      <w:bookmarkEnd w:id="124"/>
      <w:bookmarkEnd w:id="125"/>
      <w:bookmarkEnd w:id="126"/>
      <w:bookmarkEnd w:id="127"/>
    </w:p>
    <w:p>
      <w:pPr>
        <w:pStyle w:val="28"/>
        <w:rPr>
          <w:rFonts w:ascii="宋体" w:hAnsi="宋体" w:cs="宋体"/>
          <w:b/>
          <w:bCs/>
        </w:rPr>
      </w:pPr>
      <w:bookmarkStart w:id="128" w:name="_Toc16938546"/>
      <w:bookmarkStart w:id="129" w:name="_Toc20823302"/>
      <w:bookmarkStart w:id="130" w:name="_Toc513029230"/>
      <w:r>
        <w:rPr>
          <w:rFonts w:hint="eastAsia" w:ascii="宋体" w:hAnsi="宋体" w:cs="宋体"/>
          <w:b/>
          <w:bCs/>
        </w:rPr>
        <w:t>22.开标</w:t>
      </w:r>
      <w:bookmarkEnd w:id="128"/>
      <w:bookmarkEnd w:id="129"/>
      <w:bookmarkEnd w:id="130"/>
    </w:p>
    <w:p>
      <w:pPr>
        <w:pStyle w:val="28"/>
        <w:rPr>
          <w:rFonts w:ascii="宋体" w:hAnsi="宋体" w:cs="宋体"/>
        </w:rPr>
      </w:pPr>
      <w:r>
        <w:rPr>
          <w:rFonts w:hint="eastAsia" w:ascii="宋体" w:hAnsi="宋体" w:cs="宋体"/>
        </w:rPr>
        <w:t>22.1</w:t>
      </w:r>
      <w:r>
        <w:rPr>
          <w:rFonts w:hint="eastAsia" w:ascii="宋体" w:hAnsi="宋体" w:cs="宋体"/>
          <w:bCs/>
        </w:rPr>
        <w:t xml:space="preserve"> 采购人将在招标公告中规定的时间和地点组织公开开标</w:t>
      </w:r>
      <w:r>
        <w:rPr>
          <w:rFonts w:hint="eastAsia" w:ascii="宋体" w:hAnsi="宋体" w:cs="宋体"/>
        </w:rPr>
        <w:t>。投标人应委派携带有效身份证件的授权代表准时参加，未现场参加的授权代表视为同意开标，如有需要现场澄清而未到场的授权代表后果自负。</w:t>
      </w:r>
    </w:p>
    <w:p>
      <w:pPr>
        <w:pStyle w:val="28"/>
        <w:rPr>
          <w:rFonts w:ascii="宋体" w:hAnsi="宋体" w:cs="宋体"/>
          <w:bCs/>
        </w:rPr>
      </w:pPr>
      <w:r>
        <w:rPr>
          <w:rFonts w:hint="eastAsia" w:ascii="宋体" w:hAnsi="宋体" w:cs="宋体"/>
        </w:rPr>
        <w:t>22.2</w:t>
      </w:r>
      <w:r>
        <w:rPr>
          <w:rFonts w:hint="eastAsia" w:ascii="宋体" w:hAnsi="宋体" w:cs="宋体"/>
          <w:b/>
        </w:rPr>
        <w:t xml:space="preserve"> </w:t>
      </w:r>
      <w:r>
        <w:rPr>
          <w:rFonts w:hint="eastAsia" w:ascii="宋体" w:hAnsi="宋体" w:cs="宋体"/>
          <w:bCs/>
        </w:rPr>
        <w:t>按照规定同意撤回的投标将不予开封。</w:t>
      </w:r>
    </w:p>
    <w:p>
      <w:pPr>
        <w:pStyle w:val="28"/>
        <w:rPr>
          <w:rFonts w:ascii="宋体" w:hAnsi="宋体" w:cs="宋体"/>
        </w:rPr>
      </w:pPr>
      <w:r>
        <w:rPr>
          <w:rFonts w:hint="eastAsia" w:ascii="宋体" w:hAnsi="宋体" w:cs="宋体"/>
        </w:rPr>
        <w:t>22.3 开标时由投标人推选的代表查验投标文件密封情况，确认无误后，采购人当众拆封宣读每份投标文件中“开标一览表”的内容，未列入开标一览表的内容一律不在开标时宣读。</w:t>
      </w:r>
    </w:p>
    <w:p>
      <w:pPr>
        <w:pStyle w:val="28"/>
        <w:rPr>
          <w:rFonts w:ascii="宋体" w:hAnsi="宋体" w:cs="宋体"/>
        </w:rPr>
      </w:pPr>
      <w:r>
        <w:rPr>
          <w:rFonts w:hint="eastAsia" w:ascii="宋体" w:hAnsi="宋体" w:cs="宋体"/>
        </w:rPr>
        <w:t>22.4 采购人将指定专人负责开标记录并存档备查，各投标人需仔细核对开标记录相关内容并签字确认。</w:t>
      </w:r>
    </w:p>
    <w:p>
      <w:pPr>
        <w:pStyle w:val="28"/>
        <w:rPr>
          <w:rFonts w:ascii="宋体" w:hAnsi="宋体" w:cs="宋体"/>
        </w:rPr>
      </w:pPr>
      <w:r>
        <w:rPr>
          <w:rFonts w:hint="eastAsia" w:ascii="宋体" w:hAnsi="宋体" w:cs="宋体"/>
        </w:rPr>
        <w:t>22.5 投标人在报价时不允许采用选择性报价，否则将被视为无效投标。</w:t>
      </w:r>
    </w:p>
    <w:p>
      <w:pPr>
        <w:pStyle w:val="28"/>
        <w:rPr>
          <w:rFonts w:ascii="宋体" w:hAnsi="宋体" w:cs="宋体"/>
          <w:bCs/>
        </w:rPr>
      </w:pPr>
      <w:r>
        <w:rPr>
          <w:rFonts w:hint="eastAsia" w:ascii="宋体" w:hAnsi="宋体" w:cs="宋体"/>
          <w:bCs/>
        </w:rPr>
        <w:t>22.6 投标截止时间结束后参加投标的供应商不足三家的，不得开标。</w:t>
      </w:r>
    </w:p>
    <w:p>
      <w:pPr>
        <w:pStyle w:val="28"/>
        <w:rPr>
          <w:rFonts w:ascii="宋体" w:hAnsi="宋体" w:cs="宋体"/>
          <w:b/>
          <w:bCs/>
        </w:rPr>
      </w:pPr>
      <w:bookmarkStart w:id="131" w:name="_Toc16938547"/>
      <w:bookmarkStart w:id="132" w:name="_Toc513029231"/>
      <w:bookmarkStart w:id="133" w:name="_Toc20823303"/>
      <w:r>
        <w:rPr>
          <w:rFonts w:hint="eastAsia" w:ascii="宋体" w:hAnsi="宋体" w:cs="宋体"/>
          <w:b/>
          <w:bCs/>
        </w:rPr>
        <w:t>23.评标</w:t>
      </w:r>
    </w:p>
    <w:p>
      <w:pPr>
        <w:pStyle w:val="28"/>
        <w:rPr>
          <w:rFonts w:ascii="宋体" w:hAnsi="宋体" w:cs="宋体"/>
          <w:b/>
        </w:rPr>
      </w:pPr>
      <w:r>
        <w:rPr>
          <w:rFonts w:hint="eastAsia" w:ascii="宋体" w:hAnsi="宋体" w:cs="宋体"/>
        </w:rPr>
        <w:t>23.1</w:t>
      </w:r>
      <w:r>
        <w:rPr>
          <w:rFonts w:hint="eastAsia" w:ascii="宋体" w:hAnsi="宋体" w:cs="宋体"/>
          <w:b/>
        </w:rPr>
        <w:t xml:space="preserve"> </w:t>
      </w:r>
      <w:r>
        <w:rPr>
          <w:rFonts w:hint="eastAsia" w:ascii="宋体" w:hAnsi="宋体" w:cs="宋体"/>
        </w:rPr>
        <w:t>开标后，采购人将组织评标委员会（以下简称评委会）进行评标。</w:t>
      </w:r>
    </w:p>
    <w:p>
      <w:pPr>
        <w:pStyle w:val="28"/>
        <w:ind w:left="330" w:leftChars="150" w:firstLine="120" w:firstLineChars="50"/>
        <w:rPr>
          <w:rFonts w:ascii="宋体" w:hAnsi="宋体" w:cs="宋体"/>
        </w:rPr>
      </w:pPr>
      <w:r>
        <w:rPr>
          <w:rFonts w:hint="eastAsia" w:ascii="宋体" w:hAnsi="宋体" w:cs="宋体"/>
        </w:rPr>
        <w:t>23.2评委会独立工作，负责评审所有投标文件并确定中标侯选人。</w:t>
      </w:r>
    </w:p>
    <w:p>
      <w:pPr>
        <w:pStyle w:val="28"/>
        <w:ind w:left="330" w:leftChars="150" w:firstLine="120" w:firstLineChars="50"/>
        <w:rPr>
          <w:rFonts w:ascii="宋体" w:hAnsi="宋体" w:cs="宋体"/>
        </w:rPr>
      </w:pPr>
      <w:r>
        <w:rPr>
          <w:rFonts w:hint="eastAsia" w:ascii="宋体" w:hAnsi="宋体" w:cs="宋体"/>
        </w:rPr>
        <w:t>23.3在评标过程中，投标人不得以任何行为影响评标过程，否则其投标文件将被作为无效投标文件。</w:t>
      </w:r>
    </w:p>
    <w:bookmarkEnd w:id="131"/>
    <w:bookmarkEnd w:id="132"/>
    <w:bookmarkEnd w:id="133"/>
    <w:p>
      <w:pPr>
        <w:pStyle w:val="28"/>
        <w:rPr>
          <w:rFonts w:ascii="宋体" w:hAnsi="宋体" w:cs="宋体"/>
          <w:b/>
          <w:bCs/>
        </w:rPr>
      </w:pPr>
      <w:bookmarkStart w:id="134" w:name="_Toc16938548"/>
      <w:bookmarkStart w:id="135" w:name="_Toc20823304"/>
      <w:bookmarkStart w:id="136" w:name="_Toc513029232"/>
      <w:r>
        <w:rPr>
          <w:rFonts w:hint="eastAsia" w:ascii="宋体" w:hAnsi="宋体" w:cs="宋体"/>
          <w:b/>
          <w:bCs/>
        </w:rPr>
        <w:t>24.投标的澄清</w:t>
      </w:r>
      <w:bookmarkEnd w:id="134"/>
      <w:bookmarkEnd w:id="135"/>
      <w:bookmarkEnd w:id="136"/>
    </w:p>
    <w:p>
      <w:pPr>
        <w:pStyle w:val="28"/>
        <w:rPr>
          <w:rFonts w:ascii="宋体" w:hAnsi="宋体" w:cs="宋体"/>
        </w:rPr>
      </w:pPr>
      <w:r>
        <w:rPr>
          <w:rFonts w:hint="eastAsia" w:ascii="宋体" w:hAnsi="宋体" w:cs="宋体"/>
        </w:rPr>
        <w:t>24.1评标期间，为有助于对投标文件的审查、评价和比较，评委会有权以书面形式要求投标人对其投标文件进行澄清，但并非对每个投标人都作澄清要求。</w:t>
      </w:r>
    </w:p>
    <w:p>
      <w:pPr>
        <w:pStyle w:val="28"/>
        <w:rPr>
          <w:rFonts w:ascii="宋体" w:hAnsi="宋体" w:cs="宋体"/>
        </w:rPr>
      </w:pPr>
      <w:r>
        <w:rPr>
          <w:rFonts w:hint="eastAsia" w:ascii="宋体" w:hAnsi="宋体" w:cs="宋体"/>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8"/>
        <w:rPr>
          <w:rFonts w:ascii="宋体" w:hAnsi="宋体" w:cs="宋体"/>
        </w:rPr>
      </w:pPr>
      <w:r>
        <w:rPr>
          <w:rFonts w:hint="eastAsia" w:ascii="宋体" w:hAnsi="宋体" w:cs="宋体"/>
        </w:rPr>
        <w:t>24.3 接到评委会澄清要求的投标人如未按规定做出澄清，后果由投标人自行承担。</w:t>
      </w:r>
    </w:p>
    <w:p>
      <w:pPr>
        <w:pStyle w:val="28"/>
        <w:rPr>
          <w:rFonts w:ascii="宋体" w:hAnsi="宋体" w:cs="宋体"/>
          <w:b/>
          <w:bCs/>
        </w:rPr>
      </w:pPr>
      <w:bookmarkStart w:id="137" w:name="_Toc20823306"/>
      <w:bookmarkStart w:id="138" w:name="_Toc513029234"/>
      <w:bookmarkStart w:id="139" w:name="_Toc16938550"/>
      <w:r>
        <w:rPr>
          <w:rFonts w:hint="eastAsia" w:ascii="宋体" w:hAnsi="宋体" w:cs="宋体"/>
          <w:b/>
          <w:bCs/>
        </w:rPr>
        <w:t>25</w:t>
      </w:r>
      <w:bookmarkEnd w:id="137"/>
      <w:bookmarkEnd w:id="138"/>
      <w:bookmarkEnd w:id="139"/>
      <w:r>
        <w:rPr>
          <w:rFonts w:hint="eastAsia" w:ascii="宋体" w:hAnsi="宋体" w:cs="宋体"/>
          <w:b/>
          <w:bCs/>
        </w:rPr>
        <w:t>.无效投标条款和废标条款</w:t>
      </w:r>
    </w:p>
    <w:p>
      <w:pPr>
        <w:pStyle w:val="28"/>
        <w:rPr>
          <w:rFonts w:ascii="宋体" w:hAnsi="宋体" w:cs="宋体"/>
          <w:bCs/>
        </w:rPr>
      </w:pPr>
      <w:bookmarkStart w:id="140" w:name="_Toc513029235"/>
      <w:bookmarkStart w:id="141" w:name="_Toc20823307"/>
      <w:bookmarkStart w:id="142" w:name="_Toc16938551"/>
      <w:r>
        <w:rPr>
          <w:rFonts w:hint="eastAsia" w:ascii="宋体" w:hAnsi="宋体" w:cs="宋体"/>
          <w:bCs/>
        </w:rPr>
        <w:t>25.1无效投标条款</w:t>
      </w:r>
    </w:p>
    <w:p>
      <w:pPr>
        <w:pStyle w:val="28"/>
        <w:rPr>
          <w:rFonts w:ascii="宋体" w:hAnsi="宋体" w:cs="宋体"/>
          <w:bCs/>
        </w:rPr>
      </w:pPr>
      <w:r>
        <w:rPr>
          <w:rFonts w:hint="eastAsia" w:ascii="宋体" w:hAnsi="宋体" w:cs="宋体"/>
          <w:bCs/>
        </w:rPr>
        <w:t>（1）未按要求交纳投标保证金的。</w:t>
      </w:r>
    </w:p>
    <w:p>
      <w:pPr>
        <w:pStyle w:val="28"/>
        <w:rPr>
          <w:rFonts w:ascii="宋体" w:hAnsi="宋体" w:cs="宋体"/>
          <w:bCs/>
        </w:rPr>
      </w:pPr>
      <w:r>
        <w:rPr>
          <w:rFonts w:hint="eastAsia" w:ascii="宋体" w:hAnsi="宋体" w:cs="宋体"/>
          <w:bCs/>
        </w:rPr>
        <w:t>（2）未按照招标文件规定要求密封、签署、盖章的。</w:t>
      </w:r>
    </w:p>
    <w:p>
      <w:pPr>
        <w:pStyle w:val="28"/>
        <w:rPr>
          <w:rFonts w:ascii="宋体" w:hAnsi="宋体" w:cs="宋体"/>
          <w:bCs/>
        </w:rPr>
      </w:pPr>
      <w:r>
        <w:rPr>
          <w:rFonts w:hint="eastAsia" w:ascii="宋体" w:hAnsi="宋体" w:cs="宋体"/>
          <w:bCs/>
        </w:rPr>
        <w:t>（3）投标人在报价时采用选择性报价的。</w:t>
      </w:r>
    </w:p>
    <w:p>
      <w:pPr>
        <w:pStyle w:val="28"/>
        <w:rPr>
          <w:rFonts w:ascii="宋体" w:hAnsi="宋体" w:cs="宋体"/>
          <w:bCs/>
        </w:rPr>
      </w:pPr>
      <w:r>
        <w:rPr>
          <w:rFonts w:hint="eastAsia" w:ascii="宋体" w:hAnsi="宋体" w:cs="宋体"/>
          <w:bCs/>
        </w:rPr>
        <w:t>（4）投标人不具备招标文件中规定资格要求的。</w:t>
      </w:r>
    </w:p>
    <w:p>
      <w:pPr>
        <w:pStyle w:val="28"/>
        <w:rPr>
          <w:rFonts w:ascii="宋体" w:hAnsi="宋体" w:cs="宋体"/>
          <w:bCs/>
        </w:rPr>
      </w:pPr>
      <w:r>
        <w:rPr>
          <w:rFonts w:hint="eastAsia" w:ascii="宋体" w:hAnsi="宋体" w:cs="宋体"/>
          <w:bCs/>
        </w:rPr>
        <w:t>（5）投标人的报价超过了采购预算或最高限价的。</w:t>
      </w:r>
    </w:p>
    <w:p>
      <w:pPr>
        <w:pStyle w:val="28"/>
        <w:rPr>
          <w:rFonts w:ascii="宋体" w:hAnsi="宋体" w:cs="宋体"/>
          <w:bCs/>
          <w:i/>
          <w:u w:val="single"/>
        </w:rPr>
      </w:pPr>
      <w:r>
        <w:rPr>
          <w:rFonts w:hint="eastAsia" w:ascii="宋体" w:hAnsi="宋体" w:cs="宋体"/>
          <w:bCs/>
        </w:rPr>
        <w:t>（6）未通过符合性检查的。</w:t>
      </w:r>
    </w:p>
    <w:p>
      <w:pPr>
        <w:pStyle w:val="28"/>
        <w:rPr>
          <w:rFonts w:ascii="宋体" w:hAnsi="宋体" w:cs="宋体"/>
          <w:bCs/>
          <w:i/>
          <w:u w:val="single"/>
        </w:rPr>
      </w:pPr>
      <w:r>
        <w:rPr>
          <w:rFonts w:hint="eastAsia" w:ascii="宋体" w:hAnsi="宋体" w:cs="宋体"/>
          <w:bCs/>
        </w:rPr>
        <w:t>（7）不符合招标文件中规定的其他实质性要求和条件的。</w:t>
      </w:r>
    </w:p>
    <w:p>
      <w:pPr>
        <w:pStyle w:val="28"/>
        <w:rPr>
          <w:rFonts w:ascii="宋体" w:hAnsi="宋体" w:cs="宋体"/>
          <w:bCs/>
        </w:rPr>
      </w:pPr>
      <w:r>
        <w:rPr>
          <w:rFonts w:hint="eastAsia" w:ascii="宋体" w:hAnsi="宋体" w:cs="宋体"/>
          <w:bCs/>
        </w:rPr>
        <w:t>（8） 投标人被 “信用中国”网站（www.creditchina.gov.cn）列入失信被执行人或重大税收违法案件当事人名单或政府采购严重失信行为记录名单。</w:t>
      </w:r>
    </w:p>
    <w:p>
      <w:pPr>
        <w:pStyle w:val="28"/>
        <w:rPr>
          <w:rFonts w:ascii="宋体" w:hAnsi="宋体" w:cs="宋体"/>
          <w:bCs/>
        </w:rPr>
      </w:pPr>
      <w:r>
        <w:rPr>
          <w:rFonts w:hint="eastAsia" w:ascii="宋体" w:hAnsi="宋体" w:cs="宋体"/>
          <w:bCs/>
        </w:rPr>
        <w:t>（9）  投标文件含有采购人不能接受的附加条件的。</w:t>
      </w:r>
    </w:p>
    <w:p>
      <w:pPr>
        <w:pStyle w:val="28"/>
        <w:rPr>
          <w:rFonts w:ascii="宋体" w:hAnsi="宋体" w:cs="宋体"/>
          <w:bCs/>
        </w:rPr>
      </w:pPr>
      <w:r>
        <w:rPr>
          <w:rFonts w:hint="eastAsia" w:ascii="宋体" w:hAnsi="宋体" w:cs="宋体"/>
          <w:bCs/>
        </w:rPr>
        <w:t>（10）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
        <w:rPr>
          <w:rFonts w:ascii="宋体" w:hAnsi="宋体" w:cs="宋体"/>
          <w:bCs/>
        </w:rPr>
      </w:pPr>
      <w:r>
        <w:rPr>
          <w:rFonts w:hint="eastAsia" w:ascii="宋体" w:hAnsi="宋体" w:cs="宋体"/>
          <w:bCs/>
        </w:rPr>
        <w:t>（11）其他法律、法规及本招标文件规定的属无效投标的情形。</w:t>
      </w:r>
    </w:p>
    <w:p>
      <w:pPr>
        <w:pStyle w:val="28"/>
        <w:rPr>
          <w:rFonts w:ascii="宋体" w:hAnsi="宋体" w:cs="宋体"/>
          <w:bCs/>
        </w:rPr>
      </w:pPr>
      <w:r>
        <w:rPr>
          <w:rFonts w:hint="eastAsia" w:ascii="宋体" w:hAnsi="宋体" w:cs="宋体"/>
          <w:bCs/>
        </w:rPr>
        <w:t>25.2废标条款：</w:t>
      </w:r>
    </w:p>
    <w:p>
      <w:pPr>
        <w:pStyle w:val="28"/>
        <w:rPr>
          <w:rFonts w:ascii="宋体" w:hAnsi="宋体" w:cs="宋体"/>
          <w:bCs/>
        </w:rPr>
      </w:pPr>
      <w:r>
        <w:rPr>
          <w:rFonts w:hint="eastAsia" w:ascii="宋体" w:hAnsi="宋体" w:cs="宋体"/>
          <w:bCs/>
        </w:rPr>
        <w:t>（1）符合专业条件的供应商或者对招标文件作实质响应的供应商不足三家的。</w:t>
      </w:r>
    </w:p>
    <w:p>
      <w:pPr>
        <w:pStyle w:val="28"/>
        <w:rPr>
          <w:rFonts w:ascii="宋体" w:hAnsi="宋体" w:cs="宋体"/>
          <w:bCs/>
        </w:rPr>
      </w:pPr>
      <w:r>
        <w:rPr>
          <w:rFonts w:hint="eastAsia" w:ascii="宋体" w:hAnsi="宋体" w:cs="宋体"/>
          <w:bCs/>
        </w:rPr>
        <w:t>（2）出现影响采购公正的违法、违规行为的。</w:t>
      </w:r>
    </w:p>
    <w:p>
      <w:pPr>
        <w:pStyle w:val="28"/>
        <w:rPr>
          <w:rFonts w:ascii="宋体" w:hAnsi="宋体" w:cs="宋体"/>
          <w:bCs/>
        </w:rPr>
      </w:pPr>
      <w:r>
        <w:rPr>
          <w:rFonts w:hint="eastAsia" w:ascii="宋体" w:hAnsi="宋体" w:cs="宋体"/>
          <w:bCs/>
        </w:rPr>
        <w:t>（3）因重大变故，采购任务取消的。</w:t>
      </w:r>
    </w:p>
    <w:p>
      <w:pPr>
        <w:pStyle w:val="28"/>
        <w:rPr>
          <w:rFonts w:ascii="宋体" w:hAnsi="宋体" w:cs="宋体"/>
          <w:bCs/>
        </w:rPr>
      </w:pPr>
      <w:r>
        <w:rPr>
          <w:rFonts w:hint="eastAsia" w:ascii="宋体" w:hAnsi="宋体" w:cs="宋体"/>
          <w:bCs/>
        </w:rPr>
        <w:t>（4）评标委员会认定招标文件存在歧义、重大缺陷导致评审工作无法进行的。</w:t>
      </w:r>
    </w:p>
    <w:p>
      <w:pPr>
        <w:pStyle w:val="28"/>
        <w:rPr>
          <w:rFonts w:ascii="宋体" w:hAnsi="宋体" w:cs="宋体"/>
          <w:b/>
        </w:rPr>
      </w:pPr>
      <w:bookmarkStart w:id="143" w:name="_Toc120614219"/>
      <w:bookmarkStart w:id="144" w:name="_Toc517190887"/>
      <w:r>
        <w:rPr>
          <w:rFonts w:hint="eastAsia" w:ascii="宋体" w:hAnsi="宋体" w:cs="宋体"/>
          <w:b/>
        </w:rPr>
        <w:t>六、</w:t>
      </w:r>
      <w:bookmarkEnd w:id="140"/>
      <w:bookmarkEnd w:id="141"/>
      <w:bookmarkEnd w:id="142"/>
      <w:r>
        <w:rPr>
          <w:rFonts w:hint="eastAsia" w:ascii="宋体" w:hAnsi="宋体" w:cs="宋体"/>
          <w:b/>
        </w:rPr>
        <w:t>定标</w:t>
      </w:r>
      <w:bookmarkEnd w:id="143"/>
      <w:bookmarkEnd w:id="144"/>
    </w:p>
    <w:p>
      <w:pPr>
        <w:pStyle w:val="28"/>
        <w:rPr>
          <w:rFonts w:ascii="宋体" w:hAnsi="宋体" w:cs="宋体"/>
          <w:b/>
        </w:rPr>
      </w:pPr>
      <w:bookmarkStart w:id="145" w:name="_Toc513029238"/>
      <w:bookmarkStart w:id="146" w:name="_Toc20823310"/>
      <w:bookmarkStart w:id="147" w:name="_Toc16938554"/>
      <w:r>
        <w:rPr>
          <w:rFonts w:hint="eastAsia" w:ascii="宋体" w:hAnsi="宋体" w:cs="宋体"/>
          <w:b/>
        </w:rPr>
        <w:t>26</w:t>
      </w:r>
      <w:bookmarkEnd w:id="145"/>
      <w:r>
        <w:rPr>
          <w:rFonts w:hint="eastAsia" w:ascii="宋体" w:hAnsi="宋体" w:cs="宋体"/>
          <w:b/>
        </w:rPr>
        <w:t>.确定</w:t>
      </w:r>
      <w:bookmarkEnd w:id="146"/>
      <w:bookmarkEnd w:id="147"/>
      <w:r>
        <w:rPr>
          <w:rFonts w:hint="eastAsia" w:ascii="宋体" w:hAnsi="宋体" w:cs="宋体"/>
          <w:b/>
        </w:rPr>
        <w:t>中标单位</w:t>
      </w:r>
    </w:p>
    <w:p>
      <w:pPr>
        <w:pStyle w:val="28"/>
        <w:rPr>
          <w:rFonts w:ascii="宋体" w:hAnsi="宋体" w:cs="宋体"/>
          <w:bCs/>
        </w:rPr>
      </w:pPr>
      <w:r>
        <w:rPr>
          <w:rFonts w:hint="eastAsia" w:ascii="宋体" w:hAnsi="宋体" w:cs="宋体"/>
          <w:bCs/>
        </w:rPr>
        <w:t>26.1评委会根据本招标文件规定评分办法与评分标准确定中标人；</w:t>
      </w:r>
    </w:p>
    <w:p>
      <w:pPr>
        <w:pStyle w:val="28"/>
        <w:rPr>
          <w:rFonts w:ascii="宋体" w:hAnsi="宋体" w:cs="宋体"/>
        </w:rPr>
      </w:pPr>
      <w:r>
        <w:rPr>
          <w:rFonts w:hint="eastAsia" w:ascii="宋体" w:hAnsi="宋体" w:cs="宋体"/>
          <w:bCs/>
        </w:rPr>
        <w:t xml:space="preserve">26.2 </w:t>
      </w:r>
      <w:r>
        <w:rPr>
          <w:rFonts w:hint="eastAsia" w:ascii="宋体" w:hAnsi="宋体" w:cs="宋体"/>
        </w:rPr>
        <w:t>采购人将在“南京医科大学校园网”发布中标公告，公告期限为1个工作日。</w:t>
      </w:r>
    </w:p>
    <w:p>
      <w:pPr>
        <w:pStyle w:val="28"/>
        <w:rPr>
          <w:rFonts w:ascii="宋体" w:hAnsi="宋体" w:cs="宋体"/>
        </w:rPr>
      </w:pPr>
      <w:r>
        <w:rPr>
          <w:rFonts w:hint="eastAsia" w:ascii="宋体" w:hAnsi="宋体" w:cs="宋体"/>
        </w:rPr>
        <w:t>2</w:t>
      </w:r>
      <w:bookmarkStart w:id="148" w:name="OLE_LINK5"/>
      <w:bookmarkStart w:id="149" w:name="OLE_LINK4"/>
      <w:bookmarkStart w:id="150" w:name="OLE_LINK3"/>
      <w:bookmarkStart w:id="151" w:name="OLE_LINK7"/>
      <w:bookmarkStart w:id="152" w:name="OLE_LINK8"/>
      <w:bookmarkStart w:id="153" w:name="OLE_LINK6"/>
      <w:r>
        <w:rPr>
          <w:rFonts w:hint="eastAsia" w:ascii="宋体" w:hAnsi="宋体" w:cs="宋体"/>
        </w:rPr>
        <w:t>6.3</w:t>
      </w:r>
      <w:bookmarkEnd w:id="148"/>
      <w:bookmarkEnd w:id="149"/>
      <w:bookmarkEnd w:id="150"/>
      <w:bookmarkEnd w:id="151"/>
      <w:bookmarkEnd w:id="152"/>
      <w:bookmarkEnd w:id="153"/>
      <w:r>
        <w:rPr>
          <w:rFonts w:hint="eastAsia" w:ascii="宋体" w:hAnsi="宋体" w:cs="宋体"/>
        </w:rPr>
        <w:t xml:space="preserve"> 若有充分证据证明，中标人出现下列情况之一的，一经查实，将被取消中标资格：</w:t>
      </w:r>
    </w:p>
    <w:p>
      <w:pPr>
        <w:pStyle w:val="28"/>
        <w:rPr>
          <w:rFonts w:ascii="宋体" w:hAnsi="宋体" w:cs="宋体"/>
        </w:rPr>
      </w:pPr>
      <w:r>
        <w:rPr>
          <w:rFonts w:hint="eastAsia" w:ascii="宋体" w:hAnsi="宋体" w:cs="宋体"/>
        </w:rPr>
        <w:t>（1）提供虚假材料谋取中标的；</w:t>
      </w:r>
    </w:p>
    <w:p>
      <w:pPr>
        <w:pStyle w:val="28"/>
        <w:rPr>
          <w:rFonts w:ascii="宋体" w:hAnsi="宋体" w:cs="宋体"/>
        </w:rPr>
      </w:pPr>
      <w:r>
        <w:rPr>
          <w:rFonts w:hint="eastAsia" w:ascii="宋体" w:hAnsi="宋体" w:cs="宋体"/>
        </w:rPr>
        <w:t>（2）向采购人、评审专家行贿或者提供其他不正当利益的；</w:t>
      </w:r>
    </w:p>
    <w:p>
      <w:pPr>
        <w:pStyle w:val="28"/>
        <w:rPr>
          <w:rFonts w:ascii="宋体" w:hAnsi="宋体" w:cs="宋体"/>
        </w:rPr>
      </w:pPr>
      <w:r>
        <w:rPr>
          <w:rFonts w:hint="eastAsia" w:ascii="宋体" w:hAnsi="宋体" w:cs="宋体"/>
        </w:rPr>
        <w:t>（3）恶意竞争，投标总报价明显低于其自身合理成本且又无法提供证明的；</w:t>
      </w:r>
    </w:p>
    <w:p>
      <w:pPr>
        <w:pStyle w:val="28"/>
        <w:rPr>
          <w:rFonts w:ascii="宋体" w:hAnsi="宋体" w:cs="宋体"/>
        </w:rPr>
      </w:pPr>
      <w:r>
        <w:rPr>
          <w:rFonts w:hint="eastAsia" w:ascii="宋体" w:hAnsi="宋体" w:cs="宋体"/>
        </w:rPr>
        <w:t>（4）属于本文件规定的无效条件，但在评标过程中又未被评委会发现的；</w:t>
      </w:r>
    </w:p>
    <w:p>
      <w:pPr>
        <w:pStyle w:val="28"/>
        <w:rPr>
          <w:rFonts w:ascii="宋体" w:hAnsi="宋体" w:cs="宋体"/>
        </w:rPr>
      </w:pPr>
      <w:r>
        <w:rPr>
          <w:rFonts w:hint="eastAsia" w:ascii="宋体" w:hAnsi="宋体" w:cs="宋体"/>
        </w:rPr>
        <w:t>（5）与采购人或者其他供应商恶意串通的；</w:t>
      </w:r>
    </w:p>
    <w:p>
      <w:pPr>
        <w:pStyle w:val="28"/>
        <w:rPr>
          <w:rFonts w:ascii="宋体" w:hAnsi="宋体" w:cs="宋体"/>
        </w:rPr>
      </w:pPr>
      <w:r>
        <w:rPr>
          <w:rFonts w:hint="eastAsia" w:ascii="宋体" w:hAnsi="宋体" w:cs="宋体"/>
        </w:rPr>
        <w:t>（6）采取不正当手段诋毁、排挤其他供应商的；</w:t>
      </w:r>
    </w:p>
    <w:p>
      <w:pPr>
        <w:pStyle w:val="28"/>
        <w:rPr>
          <w:rFonts w:ascii="宋体" w:hAnsi="宋体" w:cs="宋体"/>
        </w:rPr>
      </w:pPr>
      <w:r>
        <w:rPr>
          <w:rFonts w:hint="eastAsia" w:ascii="宋体" w:hAnsi="宋体" w:cs="宋体"/>
        </w:rPr>
        <w:t>（7）不符合法律、法规的规定的。</w:t>
      </w:r>
      <w:bookmarkStart w:id="154" w:name="_Toc200451960"/>
    </w:p>
    <w:p>
      <w:pPr>
        <w:pStyle w:val="28"/>
        <w:rPr>
          <w:rFonts w:ascii="宋体" w:hAnsi="宋体" w:cs="宋体"/>
        </w:rPr>
      </w:pPr>
      <w:r>
        <w:rPr>
          <w:rFonts w:hint="eastAsia" w:ascii="宋体" w:hAnsi="宋体" w:cs="宋体"/>
        </w:rPr>
        <w:t>26.4 有下列情形之一的，视为投标人串通投标，投标无效：</w:t>
      </w:r>
    </w:p>
    <w:p>
      <w:pPr>
        <w:pStyle w:val="28"/>
        <w:rPr>
          <w:rFonts w:ascii="宋体" w:hAnsi="宋体" w:cs="宋体"/>
        </w:rPr>
      </w:pPr>
      <w:r>
        <w:rPr>
          <w:rFonts w:hint="eastAsia" w:ascii="宋体" w:hAnsi="宋体" w:cs="宋体"/>
        </w:rPr>
        <w:t>（1）不同投标人的投标文件由同一单位或者个人编制；</w:t>
      </w:r>
    </w:p>
    <w:p>
      <w:pPr>
        <w:pStyle w:val="28"/>
        <w:rPr>
          <w:rFonts w:ascii="宋体" w:hAnsi="宋体" w:cs="宋体"/>
        </w:rPr>
      </w:pPr>
      <w:r>
        <w:rPr>
          <w:rFonts w:hint="eastAsia" w:ascii="宋体" w:hAnsi="宋体" w:cs="宋体"/>
        </w:rPr>
        <w:t>（2）不同投标人委托同一单位或者个人办理投标事宜；</w:t>
      </w:r>
    </w:p>
    <w:p>
      <w:pPr>
        <w:pStyle w:val="28"/>
        <w:rPr>
          <w:rFonts w:ascii="宋体" w:hAnsi="宋体" w:cs="宋体"/>
        </w:rPr>
      </w:pPr>
      <w:r>
        <w:rPr>
          <w:rFonts w:hint="eastAsia" w:ascii="宋体" w:hAnsi="宋体" w:cs="宋体"/>
        </w:rPr>
        <w:t>（3） 不同投标人的投标文件载明的项目管理成员或者联系人员为同一人；</w:t>
      </w:r>
    </w:p>
    <w:p>
      <w:pPr>
        <w:pStyle w:val="28"/>
        <w:rPr>
          <w:rFonts w:ascii="宋体" w:hAnsi="宋体" w:cs="宋体"/>
        </w:rPr>
      </w:pPr>
      <w:r>
        <w:rPr>
          <w:rFonts w:hint="eastAsia" w:ascii="宋体" w:hAnsi="宋体" w:cs="宋体"/>
        </w:rPr>
        <w:t>（4）不同投标人的投标文件异常一致或者投标报价呈规律性差异；</w:t>
      </w:r>
    </w:p>
    <w:p>
      <w:pPr>
        <w:pStyle w:val="28"/>
        <w:rPr>
          <w:rFonts w:ascii="宋体" w:hAnsi="宋体" w:cs="宋体"/>
        </w:rPr>
      </w:pPr>
      <w:r>
        <w:rPr>
          <w:rFonts w:hint="eastAsia" w:ascii="宋体" w:hAnsi="宋体" w:cs="宋体"/>
        </w:rPr>
        <w:t>（5）不同投标人的投标文件相互混装；</w:t>
      </w:r>
    </w:p>
    <w:p>
      <w:pPr>
        <w:pStyle w:val="28"/>
        <w:rPr>
          <w:rFonts w:ascii="宋体" w:hAnsi="宋体" w:cs="宋体"/>
        </w:rPr>
      </w:pPr>
      <w:r>
        <w:rPr>
          <w:rFonts w:hint="eastAsia" w:ascii="宋体" w:hAnsi="宋体" w:cs="宋体"/>
        </w:rPr>
        <w:t>（6）不同投标人的投标保证金从同一单位或者个人的账户转出。</w:t>
      </w:r>
    </w:p>
    <w:p>
      <w:pPr>
        <w:pStyle w:val="28"/>
        <w:rPr>
          <w:rFonts w:ascii="宋体" w:hAnsi="宋体" w:cs="宋体"/>
          <w:b/>
        </w:rPr>
      </w:pPr>
      <w:r>
        <w:rPr>
          <w:rFonts w:hint="eastAsia" w:ascii="宋体" w:hAnsi="宋体" w:cs="宋体"/>
          <w:b/>
        </w:rPr>
        <w:t>27.质疑处理</w:t>
      </w:r>
      <w:bookmarkEnd w:id="154"/>
    </w:p>
    <w:p>
      <w:pPr>
        <w:pStyle w:val="28"/>
        <w:rPr>
          <w:rFonts w:ascii="宋体" w:hAnsi="宋体" w:cs="宋体"/>
          <w:color w:val="FF0000"/>
        </w:rPr>
      </w:pPr>
      <w:r>
        <w:rPr>
          <w:rFonts w:hint="eastAsia" w:ascii="宋体" w:hAnsi="宋体" w:cs="宋体"/>
        </w:rPr>
        <w:t>供应商认为采购文件、采购过程和采购结果使自己的权益受到损害的，可以在知道或应知其权益受到损害之日起七个工作日内，以书面形式向采购人提出质疑。</w:t>
      </w:r>
    </w:p>
    <w:p>
      <w:pPr>
        <w:pStyle w:val="28"/>
        <w:rPr>
          <w:rFonts w:ascii="宋体" w:hAnsi="宋体" w:cs="宋体"/>
          <w:b/>
        </w:rPr>
      </w:pPr>
      <w:r>
        <w:rPr>
          <w:rFonts w:hint="eastAsia" w:ascii="宋体" w:hAnsi="宋体" w:cs="宋体"/>
          <w:b/>
        </w:rPr>
        <w:t>28.中标通知书</w:t>
      </w:r>
    </w:p>
    <w:p>
      <w:pPr>
        <w:pStyle w:val="28"/>
        <w:rPr>
          <w:rFonts w:ascii="宋体" w:hAnsi="宋体" w:cs="宋体"/>
        </w:rPr>
      </w:pPr>
      <w:r>
        <w:rPr>
          <w:rFonts w:hint="eastAsia" w:ascii="宋体" w:hAnsi="宋体" w:cs="宋体"/>
        </w:rPr>
        <w:t>28.1</w:t>
      </w:r>
      <w:r>
        <w:rPr>
          <w:rFonts w:hint="eastAsia" w:ascii="宋体" w:hAnsi="宋体" w:cs="宋体"/>
          <w:b/>
        </w:rPr>
        <w:t xml:space="preserve"> </w:t>
      </w:r>
      <w:r>
        <w:rPr>
          <w:rFonts w:hint="eastAsia" w:ascii="宋体" w:hAnsi="宋体" w:cs="宋体"/>
        </w:rPr>
        <w:t>中标结果确定后，采购人将向中标供应商发出中标通知书。</w:t>
      </w:r>
    </w:p>
    <w:p>
      <w:pPr>
        <w:pStyle w:val="28"/>
        <w:rPr>
          <w:rFonts w:ascii="宋体" w:hAnsi="宋体" w:cs="宋体"/>
        </w:rPr>
      </w:pPr>
      <w:r>
        <w:rPr>
          <w:rFonts w:hint="eastAsia" w:ascii="宋体" w:hAnsi="宋体" w:cs="宋体"/>
        </w:rPr>
        <w:t>28.2 中标通知书将是合同的一个组成部分。对采购人和中标供应商均具有法律效力。中标通知书发出后，采购人改变中标结果的，或者中标供应商放弃中标项目的，应当依法承担法律责任。</w:t>
      </w:r>
    </w:p>
    <w:p>
      <w:pPr>
        <w:pStyle w:val="28"/>
        <w:rPr>
          <w:rFonts w:ascii="宋体" w:hAnsi="宋体" w:cs="宋体"/>
          <w:b/>
        </w:rPr>
      </w:pPr>
      <w:bookmarkStart w:id="155" w:name="_Toc517190888"/>
      <w:bookmarkStart w:id="156" w:name="_Toc120614220"/>
      <w:bookmarkStart w:id="157" w:name="_Toc16938552"/>
      <w:bookmarkStart w:id="158" w:name="_Toc20823308"/>
      <w:bookmarkStart w:id="159" w:name="_Toc513029236"/>
      <w:r>
        <w:rPr>
          <w:rFonts w:hint="eastAsia" w:ascii="宋体" w:hAnsi="宋体" w:cs="宋体"/>
          <w:b/>
        </w:rPr>
        <w:t>七、授予合同</w:t>
      </w:r>
      <w:bookmarkEnd w:id="155"/>
      <w:bookmarkEnd w:id="156"/>
    </w:p>
    <w:bookmarkEnd w:id="157"/>
    <w:bookmarkEnd w:id="158"/>
    <w:bookmarkEnd w:id="159"/>
    <w:p>
      <w:pPr>
        <w:pStyle w:val="28"/>
        <w:rPr>
          <w:rFonts w:ascii="宋体" w:hAnsi="宋体" w:cs="宋体"/>
          <w:b/>
        </w:rPr>
      </w:pPr>
      <w:bookmarkStart w:id="160" w:name="_Toc20823309"/>
      <w:bookmarkStart w:id="161" w:name="_Toc16938553"/>
      <w:bookmarkStart w:id="162" w:name="_Toc513029237"/>
      <w:r>
        <w:rPr>
          <w:rFonts w:hint="eastAsia" w:ascii="宋体" w:hAnsi="宋体" w:cs="宋体"/>
          <w:b/>
        </w:rPr>
        <w:t>29. 签订合同</w:t>
      </w:r>
    </w:p>
    <w:p>
      <w:pPr>
        <w:pStyle w:val="28"/>
        <w:rPr>
          <w:rFonts w:ascii="宋体" w:hAnsi="宋体" w:cs="宋体"/>
        </w:rPr>
      </w:pPr>
      <w:r>
        <w:rPr>
          <w:rFonts w:hint="eastAsia" w:ascii="宋体" w:hAnsi="宋体" w:cs="宋体"/>
          <w:bCs/>
        </w:rPr>
        <w:t>29</w:t>
      </w:r>
      <w:r>
        <w:rPr>
          <w:rFonts w:hint="eastAsia" w:ascii="宋体" w:hAnsi="宋体" w:cs="宋体"/>
        </w:rPr>
        <w:t>.1中标人应按中标通知书规定的时间、地点，按照招标文件确定的事项与采购人签订采购合同，且不得迟于中标通知书发出之日起三十日内，否则投标保证金将不予退还，由此给采购人造成损失的，中标人还应承担赔偿责任。</w:t>
      </w:r>
    </w:p>
    <w:p>
      <w:pPr>
        <w:pStyle w:val="28"/>
        <w:rPr>
          <w:rFonts w:ascii="宋体" w:hAnsi="宋体" w:cs="宋体"/>
        </w:rPr>
      </w:pPr>
      <w:r>
        <w:rPr>
          <w:rFonts w:hint="eastAsia" w:ascii="宋体" w:hAnsi="宋体" w:cs="宋体"/>
        </w:rPr>
        <w:t>29.2</w:t>
      </w:r>
      <w:r>
        <w:rPr>
          <w:rFonts w:hint="eastAsia" w:ascii="宋体" w:hAnsi="宋体" w:cs="宋体"/>
          <w:b/>
        </w:rPr>
        <w:t xml:space="preserve"> </w:t>
      </w:r>
      <w:r>
        <w:rPr>
          <w:rFonts w:hint="eastAsia" w:ascii="宋体" w:hAnsi="宋体" w:cs="宋体"/>
        </w:rPr>
        <w:t>招标文件、中标人的投标文件及招标过程中有关澄清、承诺文件均应作为合同附件。</w:t>
      </w:r>
    </w:p>
    <w:p>
      <w:pPr>
        <w:pStyle w:val="28"/>
        <w:rPr>
          <w:rFonts w:ascii="宋体" w:hAnsi="宋体" w:cs="宋体"/>
        </w:rPr>
      </w:pPr>
      <w:r>
        <w:rPr>
          <w:rFonts w:hint="eastAsia" w:ascii="宋体" w:hAnsi="宋体" w:cs="宋体"/>
        </w:rPr>
        <w:t>29.3 签订合同后，</w:t>
      </w:r>
      <w:r>
        <w:rPr>
          <w:rFonts w:hint="eastAsia" w:ascii="宋体" w:hAnsi="宋体" w:cs="宋体"/>
          <w:i/>
          <w:u w:val="single"/>
        </w:rPr>
        <w:t>中标人不得将货物及其他相关服务进行转包</w:t>
      </w:r>
      <w:r>
        <w:rPr>
          <w:rFonts w:hint="eastAsia" w:ascii="宋体" w:hAnsi="宋体" w:cs="宋体"/>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28"/>
        <w:rPr>
          <w:rFonts w:ascii="宋体" w:hAnsi="宋体" w:cs="宋体"/>
          <w:b/>
        </w:rPr>
      </w:pPr>
      <w:bookmarkStart w:id="163" w:name="_Toc517190889"/>
      <w:r>
        <w:rPr>
          <w:rFonts w:hint="eastAsia" w:ascii="宋体" w:hAnsi="宋体" w:cs="宋体"/>
          <w:b/>
        </w:rPr>
        <w:t>八、其他</w:t>
      </w:r>
      <w:bookmarkEnd w:id="163"/>
    </w:p>
    <w:p>
      <w:pPr>
        <w:pStyle w:val="28"/>
        <w:rPr>
          <w:rFonts w:ascii="宋体" w:hAnsi="宋体" w:cs="宋体"/>
          <w:b/>
        </w:rPr>
      </w:pPr>
      <w:r>
        <w:rPr>
          <w:rFonts w:hint="eastAsia" w:ascii="宋体" w:hAnsi="宋体" w:cs="宋体"/>
          <w:b/>
        </w:rPr>
        <w:t>30.样品</w:t>
      </w:r>
    </w:p>
    <w:p>
      <w:pPr>
        <w:pStyle w:val="28"/>
        <w:rPr>
          <w:rFonts w:ascii="宋体" w:hAnsi="宋体" w:cs="宋体"/>
          <w:bCs/>
        </w:rPr>
      </w:pPr>
      <w:r>
        <w:rPr>
          <w:rFonts w:hint="eastAsia" w:ascii="宋体" w:hAnsi="宋体" w:cs="宋体"/>
          <w:bCs/>
        </w:rPr>
        <w:t>项目要求提供样品的，中标人的样品由采购人负责保管、封存，并作为履约验收的参考。未中标人的样品将及时退还。</w:t>
      </w:r>
      <w:bookmarkStart w:id="164" w:name="_Toc401414769"/>
    </w:p>
    <w:p>
      <w:pPr>
        <w:adjustRightInd/>
        <w:snapToGrid/>
        <w:spacing w:after="0"/>
        <w:rPr>
          <w:rFonts w:ascii="宋体" w:hAnsi="宋体" w:eastAsia="宋体" w:cs="宋体"/>
          <w:bCs/>
          <w:sz w:val="24"/>
          <w:szCs w:val="24"/>
        </w:rPr>
      </w:pPr>
      <w:r>
        <w:rPr>
          <w:rFonts w:ascii="宋体" w:hAnsi="宋体" w:cs="宋体"/>
          <w:bCs/>
        </w:rPr>
        <w:br w:type="page"/>
      </w:r>
    </w:p>
    <w:p>
      <w:pPr>
        <w:pStyle w:val="3"/>
        <w:keepNext w:val="0"/>
        <w:pageBreakBefore/>
        <w:rPr>
          <w:rFonts w:asciiTheme="minorEastAsia" w:hAnsiTheme="minorEastAsia" w:eastAsiaTheme="minorEastAsia"/>
          <w:b/>
          <w:sz w:val="44"/>
          <w:szCs w:val="44"/>
        </w:rPr>
      </w:pPr>
      <w:bookmarkStart w:id="165" w:name="_Toc15217"/>
      <w:r>
        <w:rPr>
          <w:rFonts w:hint="eastAsia" w:asciiTheme="minorEastAsia" w:hAnsiTheme="minorEastAsia" w:eastAsiaTheme="minorEastAsia"/>
          <w:b/>
          <w:sz w:val="44"/>
          <w:szCs w:val="44"/>
        </w:rPr>
        <w:t>第三章   项目需求</w:t>
      </w:r>
      <w:bookmarkEnd w:id="165"/>
    </w:p>
    <w:p>
      <w:pPr>
        <w:spacing w:before="120" w:beforeLines="50" w:after="120" w:afterLines="50" w:line="500" w:lineRule="exact"/>
        <w:rPr>
          <w:rFonts w:ascii="Times New Roman" w:hAnsi="Times New Roman" w:eastAsia="宋体" w:cs="Times New Roman"/>
          <w:b/>
          <w:bCs/>
          <w:sz w:val="28"/>
          <w:szCs w:val="24"/>
        </w:rPr>
      </w:pPr>
      <w:r>
        <w:rPr>
          <w:rFonts w:ascii="Times New Roman" w:hAnsi="Times New Roman" w:eastAsia="宋体" w:cs="Times New Roman"/>
          <w:b/>
          <w:bCs/>
          <w:sz w:val="28"/>
          <w:szCs w:val="24"/>
        </w:rPr>
        <w:t>一、项目背景</w:t>
      </w:r>
    </w:p>
    <w:p>
      <w:pPr>
        <w:spacing w:after="0" w:line="500" w:lineRule="exact"/>
        <w:ind w:firstLine="480" w:firstLineChars="200"/>
        <w:rPr>
          <w:rFonts w:ascii="Times New Roman" w:hAnsi="Times New Roman" w:cs="Times New Roman"/>
          <w:sz w:val="24"/>
          <w:szCs w:val="24"/>
        </w:rPr>
      </w:pPr>
      <w:r>
        <w:rPr>
          <w:rFonts w:ascii="Times New Roman" w:hAnsi="Times New Roman" w:eastAsia="宋体" w:cs="Times New Roman"/>
          <w:bCs/>
          <w:sz w:val="24"/>
          <w:szCs w:val="24"/>
        </w:rPr>
        <w:t>为满足实验室开展的课题实验需要，需采购一台QPCR仪。</w:t>
      </w:r>
    </w:p>
    <w:p>
      <w:pPr>
        <w:spacing w:before="120" w:beforeLines="50" w:after="120" w:afterLines="50" w:line="500" w:lineRule="exact"/>
        <w:rPr>
          <w:rFonts w:ascii="Times New Roman" w:hAnsi="Times New Roman" w:eastAsia="宋体" w:cs="Times New Roman"/>
          <w:b/>
          <w:bCs/>
          <w:sz w:val="28"/>
          <w:szCs w:val="24"/>
        </w:rPr>
      </w:pPr>
      <w:r>
        <w:rPr>
          <w:rFonts w:ascii="Times New Roman" w:hAnsi="Times New Roman" w:eastAsia="宋体" w:cs="Times New Roman"/>
          <w:b/>
          <w:bCs/>
          <w:sz w:val="28"/>
          <w:szCs w:val="24"/>
        </w:rPr>
        <w:t>二</w:t>
      </w:r>
      <w:r>
        <w:rPr>
          <w:rFonts w:hint="eastAsia" w:ascii="Times New Roman" w:hAnsi="Times New Roman" w:eastAsia="宋体" w:cs="Times New Roman"/>
          <w:b/>
          <w:bCs/>
          <w:sz w:val="28"/>
          <w:szCs w:val="24"/>
        </w:rPr>
        <w:t>、</w:t>
      </w:r>
      <w:r>
        <w:rPr>
          <w:rFonts w:ascii="Times New Roman" w:hAnsi="Times New Roman" w:eastAsia="宋体" w:cs="Times New Roman"/>
          <w:b/>
          <w:bCs/>
          <w:sz w:val="28"/>
          <w:szCs w:val="24"/>
        </w:rPr>
        <w:t>仪器设备配置要求</w:t>
      </w:r>
    </w:p>
    <w:p>
      <w:pPr>
        <w:pStyle w:val="2"/>
        <w:spacing w:after="0" w:line="500" w:lineRule="exact"/>
        <w:ind w:left="0" w:leftChars="0"/>
        <w:rPr>
          <w:rFonts w:ascii="Times New Roman" w:hAnsi="Times New Roman" w:eastAsia="宋体"/>
          <w:sz w:val="24"/>
          <w:szCs w:val="24"/>
        </w:rPr>
      </w:pPr>
      <w:r>
        <w:rPr>
          <w:rFonts w:ascii="Segoe UI Symbol" w:hAnsi="Segoe UI Symbol" w:eastAsia="宋体" w:cs="Segoe UI Symbol"/>
          <w:sz w:val="24"/>
          <w:szCs w:val="24"/>
        </w:rPr>
        <w:t xml:space="preserve">★ </w:t>
      </w:r>
      <w:r>
        <w:rPr>
          <w:rFonts w:ascii="Times New Roman" w:hAnsi="Times New Roman" w:eastAsia="宋体"/>
          <w:sz w:val="24"/>
          <w:szCs w:val="24"/>
        </w:rPr>
        <w:t>1.采用全光谱大功率LED，以及高精度PMT光电倍增管，保证荧光检测性能的灵敏和稳定；</w:t>
      </w:r>
    </w:p>
    <w:p>
      <w:pPr>
        <w:spacing w:after="0" w:line="500" w:lineRule="exact"/>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2.高精度控温，温度准确度0.1℃，温度均匀性0.1℃；</w:t>
      </w:r>
    </w:p>
    <w:p>
      <w:pPr>
        <w:pStyle w:val="2"/>
        <w:spacing w:after="0" w:line="500" w:lineRule="exact"/>
        <w:ind w:left="0" w:leftChars="0" w:firstLine="240" w:firstLineChars="100"/>
        <w:rPr>
          <w:rFonts w:ascii="Times New Roman" w:hAnsi="Times New Roman" w:eastAsia="宋体"/>
          <w:sz w:val="24"/>
          <w:szCs w:val="24"/>
        </w:rPr>
      </w:pPr>
      <w:r>
        <w:rPr>
          <w:rFonts w:ascii="Times New Roman" w:hAnsi="Times New Roman" w:eastAsia="宋体"/>
          <w:sz w:val="24"/>
          <w:szCs w:val="24"/>
        </w:rPr>
        <w:t>3.梯度控温范围30-100℃，最大温差40℃；</w:t>
      </w:r>
    </w:p>
    <w:p>
      <w:pPr>
        <w:spacing w:after="0" w:line="500" w:lineRule="exact"/>
        <w:rPr>
          <w:rFonts w:ascii="Times New Roman" w:hAnsi="Times New Roman" w:eastAsia="宋体" w:cs="Times New Roman"/>
          <w:sz w:val="24"/>
          <w:szCs w:val="24"/>
        </w:rPr>
      </w:pPr>
      <w:r>
        <w:rPr>
          <w:rFonts w:ascii="Segoe UI Symbol" w:hAnsi="Segoe UI Symbol" w:eastAsia="宋体" w:cs="Segoe UI Symbol"/>
          <w:sz w:val="24"/>
          <w:szCs w:val="24"/>
        </w:rPr>
        <w:t>★</w:t>
      </w:r>
      <w:r>
        <w:rPr>
          <w:rFonts w:ascii="Times New Roman" w:hAnsi="Times New Roman" w:eastAsia="宋体" w:cs="Times New Roman"/>
          <w:sz w:val="24"/>
          <w:szCs w:val="24"/>
        </w:rPr>
        <w:t>4.电动平移进出仓，预设接口，可与自动化工作站接驳，实现无人化检测；</w:t>
      </w:r>
    </w:p>
    <w:p>
      <w:pPr>
        <w:pStyle w:val="2"/>
        <w:spacing w:after="0" w:line="500" w:lineRule="exact"/>
        <w:ind w:left="0" w:leftChars="0"/>
        <w:rPr>
          <w:rFonts w:ascii="Times New Roman" w:hAnsi="Times New Roman" w:eastAsia="宋体"/>
          <w:sz w:val="24"/>
          <w:szCs w:val="24"/>
        </w:rPr>
      </w:pPr>
      <w:r>
        <w:rPr>
          <w:rFonts w:ascii="Segoe UI Symbol" w:hAnsi="Segoe UI Symbol" w:eastAsia="宋体" w:cs="Segoe UI Symbol"/>
          <w:sz w:val="24"/>
          <w:szCs w:val="24"/>
        </w:rPr>
        <w:t>★</w:t>
      </w:r>
      <w:r>
        <w:rPr>
          <w:rFonts w:ascii="Times New Roman" w:hAnsi="Times New Roman" w:eastAsia="宋体"/>
          <w:sz w:val="24"/>
          <w:szCs w:val="24"/>
        </w:rPr>
        <w:t>5.PC、触屏双软件控制，多场景操作；无需联机，通过触摸屏即可完成检测；</w:t>
      </w:r>
    </w:p>
    <w:p>
      <w:pPr>
        <w:spacing w:after="0" w:line="500" w:lineRule="exact"/>
        <w:rPr>
          <w:rFonts w:ascii="Times New Roman" w:hAnsi="Times New Roman" w:eastAsia="宋体" w:cs="Times New Roman"/>
          <w:sz w:val="24"/>
          <w:szCs w:val="24"/>
        </w:rPr>
      </w:pPr>
      <w:r>
        <w:rPr>
          <w:rFonts w:ascii="Segoe UI Symbol" w:hAnsi="Segoe UI Symbol" w:eastAsia="宋体" w:cs="Segoe UI Symbol"/>
          <w:sz w:val="24"/>
          <w:szCs w:val="24"/>
        </w:rPr>
        <w:t>★</w:t>
      </w:r>
      <w:r>
        <w:rPr>
          <w:rFonts w:ascii="Times New Roman" w:hAnsi="Times New Roman" w:eastAsia="宋体" w:cs="Times New Roman"/>
          <w:sz w:val="24"/>
          <w:szCs w:val="24"/>
        </w:rPr>
        <w:t>6.10.1英寸大触摸屏，精确响应，便捷操作；</w:t>
      </w:r>
    </w:p>
    <w:p>
      <w:pPr>
        <w:pStyle w:val="2"/>
        <w:spacing w:after="0" w:line="500" w:lineRule="exact"/>
        <w:ind w:left="0" w:leftChars="0" w:firstLine="240" w:firstLineChars="100"/>
        <w:rPr>
          <w:rFonts w:ascii="Times New Roman" w:hAnsi="Times New Roman" w:eastAsia="宋体"/>
          <w:sz w:val="24"/>
          <w:szCs w:val="24"/>
        </w:rPr>
      </w:pPr>
      <w:r>
        <w:rPr>
          <w:rFonts w:ascii="Times New Roman" w:hAnsi="Times New Roman" w:eastAsia="宋体"/>
          <w:sz w:val="24"/>
          <w:szCs w:val="24"/>
        </w:rPr>
        <w:t>7. 灵活的程序设定，全面的分析功能，全部的参数均可储存；</w:t>
      </w:r>
    </w:p>
    <w:p>
      <w:pPr>
        <w:spacing w:after="0" w:line="500" w:lineRule="exact"/>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8.自动断电保护功能，重新通电后数据可恢复</w:t>
      </w:r>
    </w:p>
    <w:p>
      <w:pPr>
        <w:pStyle w:val="2"/>
        <w:spacing w:after="0" w:line="500" w:lineRule="exact"/>
        <w:ind w:left="0" w:leftChars="0" w:firstLine="240" w:firstLineChars="100"/>
        <w:rPr>
          <w:rFonts w:ascii="Times New Roman" w:hAnsi="Times New Roman" w:eastAsia="宋体"/>
          <w:sz w:val="24"/>
          <w:szCs w:val="24"/>
        </w:rPr>
      </w:pPr>
      <w:r>
        <w:rPr>
          <w:rFonts w:ascii="Times New Roman" w:hAnsi="Times New Roman" w:eastAsia="宋体"/>
          <w:sz w:val="24"/>
          <w:szCs w:val="24"/>
        </w:rPr>
        <w:t>9.完善的软件功能模块：绝对定量、相对定量、熔解曲线、SNP分析、HRM、快速运行等，方便操作者简单快速地设置实验程序；</w:t>
      </w:r>
    </w:p>
    <w:p>
      <w:pPr>
        <w:spacing w:after="0" w:line="500" w:lineRule="exact"/>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10.检测通量：96孔（12×8），高通量；</w:t>
      </w:r>
    </w:p>
    <w:p>
      <w:pPr>
        <w:pStyle w:val="2"/>
        <w:spacing w:after="0" w:line="500" w:lineRule="exact"/>
        <w:ind w:left="0" w:leftChars="0" w:firstLine="240" w:firstLineChars="100"/>
        <w:rPr>
          <w:rFonts w:ascii="Times New Roman" w:hAnsi="Times New Roman" w:eastAsia="宋体"/>
          <w:sz w:val="24"/>
          <w:szCs w:val="24"/>
        </w:rPr>
      </w:pPr>
      <w:r>
        <w:rPr>
          <w:rFonts w:ascii="Times New Roman" w:hAnsi="Times New Roman" w:eastAsia="宋体"/>
          <w:sz w:val="24"/>
          <w:szCs w:val="24"/>
        </w:rPr>
        <w:t>11.耗材兼容性大，轻松适配0.1mL&amp;0.2ml PCR单管、联管、96孔板；</w:t>
      </w:r>
    </w:p>
    <w:p>
      <w:pPr>
        <w:spacing w:after="0" w:line="500" w:lineRule="exact"/>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12.动力学范围：1-1010copies；</w:t>
      </w:r>
    </w:p>
    <w:p>
      <w:pPr>
        <w:pStyle w:val="2"/>
        <w:spacing w:after="0" w:line="500" w:lineRule="exact"/>
        <w:ind w:left="240" w:leftChars="0" w:hanging="240" w:hangingChars="100"/>
        <w:rPr>
          <w:rFonts w:ascii="Times New Roman" w:hAnsi="Times New Roman" w:eastAsia="宋体"/>
          <w:sz w:val="24"/>
          <w:szCs w:val="24"/>
        </w:rPr>
      </w:pPr>
      <w:r>
        <w:rPr>
          <w:rFonts w:ascii="Segoe UI Symbol" w:hAnsi="Segoe UI Symbol" w:eastAsia="宋体" w:cs="Segoe UI Symbol"/>
          <w:sz w:val="24"/>
          <w:szCs w:val="24"/>
        </w:rPr>
        <w:t>★</w:t>
      </w:r>
      <w:r>
        <w:rPr>
          <w:rFonts w:ascii="Times New Roman" w:hAnsi="Times New Roman" w:eastAsia="宋体"/>
          <w:sz w:val="24"/>
          <w:szCs w:val="24"/>
        </w:rPr>
        <w:t>13.顶部扫描光路系统，可适配白色PCR耗材，增加信噪比，实现更高灵敏度和一致性；</w:t>
      </w:r>
    </w:p>
    <w:p>
      <w:pPr>
        <w:pStyle w:val="2"/>
        <w:spacing w:after="0" w:line="500" w:lineRule="exact"/>
        <w:ind w:left="0" w:leftChars="0"/>
        <w:rPr>
          <w:rFonts w:ascii="Times New Roman" w:hAnsi="Times New Roman" w:eastAsia="宋体"/>
          <w:sz w:val="24"/>
          <w:szCs w:val="24"/>
        </w:rPr>
      </w:pPr>
      <w:r>
        <w:rPr>
          <w:rFonts w:ascii="Segoe UI Symbol" w:hAnsi="Segoe UI Symbol" w:eastAsia="宋体" w:cs="Segoe UI Symbol"/>
          <w:sz w:val="24"/>
          <w:szCs w:val="24"/>
        </w:rPr>
        <w:t>★</w:t>
      </w:r>
      <w:r>
        <w:rPr>
          <w:rFonts w:ascii="Times New Roman" w:hAnsi="Times New Roman" w:eastAsia="宋体"/>
          <w:sz w:val="24"/>
          <w:szCs w:val="24"/>
        </w:rPr>
        <w:t>14.荧光6通道，通道HEX和TAMRA可同时选择，在单一反应中检测更多项目；</w:t>
      </w:r>
    </w:p>
    <w:p>
      <w:pPr>
        <w:pStyle w:val="2"/>
        <w:spacing w:after="0" w:line="500" w:lineRule="exact"/>
        <w:ind w:left="0" w:leftChars="0" w:firstLine="240" w:firstLineChars="100"/>
        <w:rPr>
          <w:rFonts w:ascii="Times New Roman" w:hAnsi="Times New Roman" w:eastAsia="宋体"/>
          <w:sz w:val="24"/>
          <w:szCs w:val="24"/>
        </w:rPr>
      </w:pPr>
      <w:r>
        <w:rPr>
          <w:rFonts w:ascii="Times New Roman" w:hAnsi="Times New Roman" w:eastAsia="宋体"/>
          <w:sz w:val="24"/>
          <w:szCs w:val="24"/>
        </w:rPr>
        <w:t>15.不同通道荧光干扰，可自动串扰修正；</w:t>
      </w:r>
    </w:p>
    <w:p>
      <w:pPr>
        <w:pStyle w:val="2"/>
        <w:spacing w:after="0" w:line="500" w:lineRule="exact"/>
        <w:ind w:left="0" w:leftChars="0" w:firstLine="240" w:firstLineChars="100"/>
        <w:rPr>
          <w:rFonts w:ascii="Times New Roman" w:hAnsi="Times New Roman" w:eastAsia="宋体"/>
          <w:sz w:val="24"/>
          <w:szCs w:val="24"/>
        </w:rPr>
      </w:pPr>
      <w:r>
        <w:rPr>
          <w:rFonts w:ascii="Times New Roman" w:hAnsi="Times New Roman" w:eastAsia="宋体"/>
          <w:sz w:val="24"/>
          <w:szCs w:val="24"/>
        </w:rPr>
        <w:t>16.Block模式、模拟Tube模式，多样化控温方式，确保PCR更优条件。</w:t>
      </w:r>
    </w:p>
    <w:p>
      <w:pPr>
        <w:pStyle w:val="2"/>
        <w:spacing w:after="0" w:line="500" w:lineRule="exact"/>
        <w:ind w:left="0" w:leftChars="0" w:firstLine="240" w:firstLineChars="100"/>
        <w:rPr>
          <w:rFonts w:ascii="Times New Roman" w:hAnsi="Times New Roman" w:eastAsia="宋体"/>
          <w:sz w:val="24"/>
          <w:szCs w:val="24"/>
        </w:rPr>
      </w:pPr>
      <w:r>
        <w:rPr>
          <w:rFonts w:ascii="Times New Roman" w:hAnsi="Times New Roman" w:eastAsia="宋体"/>
          <w:sz w:val="24"/>
          <w:szCs w:val="24"/>
        </w:rPr>
        <w:t>17.激发光波长：400-800nm，检测波长：500-800nm，适用荧光染料：</w:t>
      </w:r>
    </w:p>
    <w:p>
      <w:pPr>
        <w:spacing w:after="0" w:line="500" w:lineRule="exact"/>
        <w:ind w:left="137"/>
        <w:rPr>
          <w:rFonts w:ascii="Times New Roman" w:hAnsi="Times New Roman" w:eastAsia="宋体" w:cs="Times New Roman"/>
          <w:sz w:val="24"/>
          <w:szCs w:val="24"/>
        </w:rPr>
      </w:pPr>
      <w:r>
        <w:rPr>
          <w:rFonts w:ascii="Times New Roman" w:hAnsi="Times New Roman" w:eastAsia="宋体" w:cs="Times New Roman"/>
          <w:sz w:val="24"/>
          <w:szCs w:val="24"/>
        </w:rPr>
        <w:t>通道1:FAM/SYBP Green I    通道2:JOE/HEX/TET/VIC    通道3:NED/TAMRA/Cy3</w:t>
      </w:r>
    </w:p>
    <w:p>
      <w:pPr>
        <w:spacing w:after="0" w:line="500" w:lineRule="exact"/>
        <w:ind w:left="137"/>
        <w:rPr>
          <w:rFonts w:ascii="Times New Roman" w:hAnsi="Times New Roman" w:eastAsia="宋体" w:cs="Times New Roman"/>
          <w:sz w:val="24"/>
          <w:szCs w:val="24"/>
        </w:rPr>
      </w:pPr>
      <w:r>
        <w:rPr>
          <w:rFonts w:ascii="Times New Roman" w:hAnsi="Times New Roman" w:eastAsia="宋体" w:cs="Times New Roman"/>
          <w:sz w:val="24"/>
          <w:szCs w:val="24"/>
        </w:rPr>
        <w:t>通道4:ROX/Texas Red    通道5:Cy5    通道6:Cy5.5</w:t>
      </w:r>
    </w:p>
    <w:p>
      <w:pPr>
        <w:pStyle w:val="2"/>
        <w:spacing w:after="0" w:line="500" w:lineRule="exact"/>
        <w:ind w:left="0" w:leftChars="0"/>
        <w:rPr>
          <w:rFonts w:ascii="Times New Roman" w:hAnsi="Times New Roman" w:eastAsia="宋体"/>
          <w:sz w:val="24"/>
          <w:szCs w:val="24"/>
        </w:rPr>
      </w:pPr>
      <w:r>
        <w:rPr>
          <w:rFonts w:ascii="Times New Roman" w:hAnsi="Times New Roman" w:eastAsia="宋体"/>
          <w:sz w:val="24"/>
          <w:szCs w:val="24"/>
        </w:rPr>
        <w:t>激发光源;发光二极管（LED）检测器：光电倍增管（PMT）</w:t>
      </w:r>
    </w:p>
    <w:p>
      <w:pPr>
        <w:pStyle w:val="2"/>
        <w:spacing w:after="0" w:line="500" w:lineRule="exact"/>
        <w:ind w:left="0" w:leftChars="0" w:firstLine="240" w:firstLineChars="100"/>
        <w:rPr>
          <w:rFonts w:ascii="Times New Roman" w:hAnsi="Times New Roman" w:eastAsia="宋体"/>
          <w:sz w:val="24"/>
          <w:szCs w:val="24"/>
        </w:rPr>
      </w:pPr>
      <w:r>
        <w:rPr>
          <w:rFonts w:ascii="Times New Roman" w:hAnsi="Times New Roman" w:eastAsia="宋体"/>
          <w:sz w:val="24"/>
          <w:szCs w:val="24"/>
        </w:rPr>
        <w:t>18.控温范围：4-105℃，温度准确度：≤±0.1℃，温度精度：≤±0.1℃，温度均匀性：≤±0.1℃，模块控温模式：Block模式、模拟Tube模式，最大升降温速率：≥6℃/s，梯度温度差：1-40℃，加液量：5-100μL，热盖温度范围：30℃-110℃（默认105℃），荧光强度检测重复性：CV≤3%。</w:t>
      </w:r>
    </w:p>
    <w:p>
      <w:pPr>
        <w:spacing w:after="0" w:line="500" w:lineRule="exact"/>
        <w:ind w:firstLine="240" w:firstLineChars="100"/>
        <w:rPr>
          <w:rFonts w:ascii="Times New Roman" w:hAnsi="Times New Roman" w:eastAsia="宋体" w:cs="Times New Roman"/>
          <w:sz w:val="24"/>
          <w:szCs w:val="24"/>
        </w:rPr>
      </w:pPr>
      <w:r>
        <w:rPr>
          <w:rFonts w:ascii="Times New Roman" w:hAnsi="Times New Roman" w:eastAsia="宋体" w:cs="Times New Roman"/>
          <w:sz w:val="24"/>
          <w:szCs w:val="24"/>
        </w:rPr>
        <w:t>19.扫描模式：全板扫描、指定行扫描，软件功能：绝对定量、相对定量、熔解曲线、SNP、HRM、快速运行等，操作系统：10寸触摸屏或PC机软件，双操作模式，信号接口：USB A 型口×2，USB B 型口，RJ45 插座。</w:t>
      </w:r>
    </w:p>
    <w:p>
      <w:pPr>
        <w:pStyle w:val="2"/>
        <w:spacing w:after="0" w:line="500" w:lineRule="exact"/>
        <w:ind w:left="0" w:leftChars="0" w:firstLine="240" w:firstLineChars="100"/>
        <w:rPr>
          <w:rFonts w:ascii="Times New Roman" w:hAnsi="Times New Roman" w:eastAsia="宋体"/>
          <w:sz w:val="24"/>
          <w:szCs w:val="24"/>
        </w:rPr>
      </w:pPr>
      <w:r>
        <w:rPr>
          <w:rFonts w:ascii="Times New Roman" w:hAnsi="Times New Roman" w:eastAsia="宋体"/>
          <w:sz w:val="24"/>
          <w:szCs w:val="24"/>
        </w:rPr>
        <w:t>20.外形尺寸：不小于320（W）mm×525（L）mm×420（H）mm，重量：不大于30kg</w:t>
      </w:r>
    </w:p>
    <w:p>
      <w:pPr>
        <w:spacing w:after="0" w:line="500" w:lineRule="exact"/>
        <w:ind w:left="240" w:hanging="240" w:hangingChars="100"/>
        <w:rPr>
          <w:rFonts w:ascii="Times New Roman" w:hAnsi="Times New Roman" w:eastAsia="宋体" w:cs="Times New Roman"/>
          <w:sz w:val="24"/>
          <w:szCs w:val="24"/>
        </w:rPr>
      </w:pPr>
      <w:r>
        <w:rPr>
          <w:rFonts w:ascii="Segoe UI Symbol" w:hAnsi="Segoe UI Symbol" w:eastAsia="宋体" w:cs="Segoe UI Symbol"/>
          <w:sz w:val="24"/>
          <w:szCs w:val="24"/>
        </w:rPr>
        <w:t xml:space="preserve">★ </w:t>
      </w:r>
      <w:r>
        <w:rPr>
          <w:rFonts w:ascii="Times New Roman" w:hAnsi="Times New Roman" w:eastAsia="宋体" w:cs="Times New Roman"/>
          <w:sz w:val="24"/>
          <w:szCs w:val="24"/>
        </w:rPr>
        <w:t>21.仪器需具备医疗器械注册证。</w:t>
      </w:r>
    </w:p>
    <w:p>
      <w:pPr>
        <w:spacing w:before="120" w:beforeLines="50" w:after="120" w:afterLines="50" w:line="500" w:lineRule="exact"/>
        <w:rPr>
          <w:rFonts w:ascii="Times New Roman" w:hAnsi="Times New Roman" w:eastAsia="宋体" w:cs="Times New Roman"/>
          <w:b/>
          <w:bCs/>
          <w:sz w:val="28"/>
          <w:szCs w:val="24"/>
        </w:rPr>
      </w:pPr>
      <w:r>
        <w:rPr>
          <w:rFonts w:ascii="Times New Roman" w:hAnsi="Times New Roman" w:eastAsia="宋体" w:cs="Times New Roman"/>
          <w:b/>
          <w:bCs/>
          <w:sz w:val="28"/>
          <w:szCs w:val="24"/>
        </w:rPr>
        <w:t>三、服务要求</w:t>
      </w:r>
    </w:p>
    <w:p>
      <w:pPr>
        <w:spacing w:after="0" w:line="500" w:lineRule="exact"/>
        <w:ind w:firstLine="240" w:firstLineChars="100"/>
        <w:rPr>
          <w:rFonts w:ascii="Times New Roman" w:hAnsi="Times New Roman" w:eastAsia="宋体" w:cs="Times New Roman"/>
          <w:bCs/>
          <w:sz w:val="24"/>
          <w:szCs w:val="24"/>
        </w:rPr>
      </w:pPr>
      <w:r>
        <w:rPr>
          <w:rFonts w:ascii="Times New Roman" w:hAnsi="Times New Roman" w:eastAsia="宋体" w:cs="Times New Roman"/>
          <w:bCs/>
          <w:sz w:val="24"/>
          <w:szCs w:val="24"/>
        </w:rPr>
        <w:t>1.保修期：免费质保期1年，自验收合格次日起算，并提供相关承诺书。质保期内发生任何设备损坏，所需要的维修费用（包括零部件费用、维修费用）均由卖方承担（人为操作不当造成的损坏除外）。</w:t>
      </w:r>
    </w:p>
    <w:p>
      <w:pPr>
        <w:spacing w:after="0" w:line="500" w:lineRule="exact"/>
        <w:ind w:firstLine="240" w:firstLineChars="100"/>
        <w:rPr>
          <w:rFonts w:ascii="Times New Roman" w:hAnsi="Times New Roman" w:eastAsia="宋体" w:cs="Times New Roman"/>
          <w:bCs/>
          <w:sz w:val="24"/>
          <w:szCs w:val="24"/>
        </w:rPr>
      </w:pPr>
      <w:r>
        <w:rPr>
          <w:rFonts w:ascii="Times New Roman" w:hAnsi="Times New Roman" w:eastAsia="宋体" w:cs="Times New Roman"/>
          <w:bCs/>
          <w:sz w:val="24"/>
          <w:szCs w:val="24"/>
        </w:rPr>
        <w:t>2.供应商应为采购方进行人员培训，质保期内提供每年不少于1次的设备操作培训，对人员培训不低于2人。</w:t>
      </w:r>
    </w:p>
    <w:p>
      <w:pPr>
        <w:spacing w:after="0" w:line="500" w:lineRule="exact"/>
        <w:ind w:firstLine="240" w:firstLineChars="100"/>
        <w:rPr>
          <w:rFonts w:ascii="Times New Roman" w:hAnsi="Times New Roman" w:eastAsia="宋体" w:cs="Times New Roman"/>
          <w:bCs/>
          <w:sz w:val="24"/>
          <w:szCs w:val="24"/>
        </w:rPr>
      </w:pPr>
      <w:r>
        <w:rPr>
          <w:rFonts w:ascii="Times New Roman" w:hAnsi="Times New Roman" w:eastAsia="宋体" w:cs="Times New Roman"/>
          <w:bCs/>
          <w:sz w:val="24"/>
          <w:szCs w:val="24"/>
        </w:rPr>
        <w:t>3.售后技术服务要求：本地化服务要求：供应商有不少于2名具有厂家培训资质的维修工程师以及不少于1名硕士以上学历的技术支持工程师（提供证明或证书复印件）常驻本地，提供详细的售后服务计划，在仪器有售后服务技术需求时，即时提供电话或网络技术支援服务，电话或网络技术服务无法解决时提供12小时内上门技术或维修服务。</w:t>
      </w:r>
    </w:p>
    <w:p>
      <w:pPr>
        <w:pStyle w:val="2"/>
        <w:ind w:left="1320"/>
      </w:pPr>
    </w:p>
    <w:p>
      <w:pPr>
        <w:spacing w:before="120" w:beforeLines="50" w:after="120" w:afterLines="50" w:line="500" w:lineRule="exact"/>
        <w:rPr>
          <w:rFonts w:ascii="Times New Roman" w:hAnsi="Times New Roman" w:eastAsia="宋体" w:cs="Times New Roman"/>
          <w:b/>
          <w:bCs/>
          <w:sz w:val="28"/>
          <w:szCs w:val="24"/>
        </w:rPr>
      </w:pPr>
      <w:r>
        <w:rPr>
          <w:rFonts w:ascii="Times New Roman" w:hAnsi="Times New Roman" w:eastAsia="宋体" w:cs="Times New Roman"/>
          <w:b/>
          <w:bCs/>
          <w:sz w:val="28"/>
          <w:szCs w:val="24"/>
        </w:rPr>
        <w:t xml:space="preserve">四、安装要求  </w:t>
      </w:r>
    </w:p>
    <w:p>
      <w:pPr>
        <w:spacing w:after="0" w:line="500" w:lineRule="exact"/>
        <w:ind w:firstLine="240" w:firstLineChars="100"/>
        <w:rPr>
          <w:rFonts w:ascii="Times New Roman" w:hAnsi="Times New Roman" w:eastAsia="宋体" w:cs="Times New Roman"/>
          <w:bCs/>
          <w:sz w:val="24"/>
          <w:szCs w:val="24"/>
        </w:rPr>
      </w:pPr>
      <w:r>
        <w:rPr>
          <w:rFonts w:ascii="Times New Roman" w:hAnsi="Times New Roman" w:eastAsia="宋体" w:cs="Times New Roman"/>
          <w:bCs/>
          <w:sz w:val="24"/>
          <w:szCs w:val="24"/>
        </w:rPr>
        <w:t>1、按照国家现行行业规范标准进行安装，符合国家或行业质量检验评定标准，没有行业标准的产品，投标人应提供相关制造商标准。</w:t>
      </w:r>
    </w:p>
    <w:p>
      <w:pPr>
        <w:spacing w:after="0" w:line="500" w:lineRule="exact"/>
        <w:ind w:firstLine="240" w:firstLineChars="100"/>
        <w:rPr>
          <w:rFonts w:ascii="Times New Roman" w:hAnsi="Times New Roman" w:eastAsia="宋体" w:cs="Times New Roman"/>
          <w:bCs/>
          <w:sz w:val="24"/>
          <w:szCs w:val="24"/>
        </w:rPr>
      </w:pPr>
      <w:r>
        <w:rPr>
          <w:rFonts w:ascii="Times New Roman" w:hAnsi="Times New Roman" w:eastAsia="宋体" w:cs="Times New Roman"/>
          <w:bCs/>
          <w:sz w:val="24"/>
          <w:szCs w:val="24"/>
        </w:rPr>
        <w:t>2、设备安装调试：设备到货后，卖方在接到通知的7个工作日内派人前往负责该设备的安装、调试和操作培训，直至达到各项验收指标合格。</w:t>
      </w:r>
    </w:p>
    <w:p>
      <w:pPr>
        <w:spacing w:before="120" w:beforeLines="50" w:after="120" w:afterLines="50" w:line="500" w:lineRule="exact"/>
        <w:rPr>
          <w:rFonts w:ascii="Times New Roman" w:hAnsi="Times New Roman" w:eastAsia="宋体" w:cs="Times New Roman"/>
          <w:b/>
          <w:bCs/>
          <w:sz w:val="28"/>
          <w:szCs w:val="24"/>
        </w:rPr>
      </w:pPr>
      <w:r>
        <w:rPr>
          <w:rFonts w:ascii="Times New Roman" w:hAnsi="Times New Roman" w:eastAsia="宋体" w:cs="Times New Roman"/>
          <w:b/>
          <w:bCs/>
          <w:sz w:val="28"/>
          <w:szCs w:val="24"/>
        </w:rPr>
        <w:t>五、交货期、交货方式及交货地点</w:t>
      </w:r>
    </w:p>
    <w:p>
      <w:pPr>
        <w:pStyle w:val="17"/>
        <w:spacing w:before="0" w:beforeAutospacing="0" w:after="0" w:afterAutospacing="0" w:line="360" w:lineRule="auto"/>
        <w:ind w:left="88" w:leftChars="40" w:firstLine="240" w:firstLineChars="100"/>
        <w:rPr>
          <w:rFonts w:ascii="Times New Roman" w:hAnsi="Times New Roman" w:cs="Times New Roman"/>
          <w:bCs/>
        </w:rPr>
      </w:pPr>
      <w:r>
        <w:rPr>
          <w:rFonts w:ascii="Times New Roman" w:hAnsi="Times New Roman" w:cs="Times New Roman"/>
          <w:bCs/>
        </w:rPr>
        <w:t>1.</w:t>
      </w:r>
      <w:r>
        <w:rPr>
          <w:rFonts w:hint="eastAsia" w:ascii="Times New Roman" w:hAnsi="Times New Roman" w:cs="Times New Roman"/>
          <w:bCs/>
        </w:rPr>
        <w:t>、</w:t>
      </w:r>
      <w:r>
        <w:rPr>
          <w:rFonts w:ascii="Times New Roman" w:hAnsi="Times New Roman" w:cs="Times New Roman"/>
          <w:bCs/>
        </w:rPr>
        <w:t>交货期：合同签订生效后，进口设备（免税）三个月内、国产设备及进口设备（非免税）一个月内全部设备、材料运抵现场，并安装、调试结束，验收合格，交付买方使用</w:t>
      </w:r>
    </w:p>
    <w:p>
      <w:pPr>
        <w:pStyle w:val="17"/>
        <w:spacing w:before="0" w:beforeAutospacing="0" w:after="0" w:afterAutospacing="0" w:line="360" w:lineRule="auto"/>
        <w:ind w:left="88" w:leftChars="40" w:firstLine="240" w:firstLineChars="100"/>
        <w:rPr>
          <w:rFonts w:ascii="Times New Roman" w:hAnsi="Times New Roman" w:cs="Times New Roman"/>
          <w:bCs/>
        </w:rPr>
      </w:pPr>
      <w:r>
        <w:rPr>
          <w:rFonts w:ascii="Times New Roman" w:hAnsi="Times New Roman" w:cs="Times New Roman"/>
          <w:bCs/>
        </w:rPr>
        <w:t>2</w:t>
      </w:r>
      <w:r>
        <w:rPr>
          <w:rFonts w:hint="eastAsia" w:ascii="Times New Roman" w:hAnsi="Times New Roman" w:cs="Times New Roman"/>
          <w:bCs/>
        </w:rPr>
        <w:t>、</w:t>
      </w:r>
      <w:r>
        <w:rPr>
          <w:rFonts w:ascii="Times New Roman" w:hAnsi="Times New Roman" w:cs="Times New Roman"/>
          <w:bCs/>
        </w:rPr>
        <w:t>交货方式：中标人在买方指定地点交货，并完成安装、调试。</w:t>
      </w:r>
    </w:p>
    <w:p>
      <w:pPr>
        <w:pStyle w:val="17"/>
        <w:spacing w:before="0" w:beforeAutospacing="0" w:after="0" w:afterAutospacing="0" w:line="360" w:lineRule="auto"/>
        <w:ind w:left="88" w:leftChars="40" w:firstLine="240" w:firstLineChars="100"/>
        <w:rPr>
          <w:rFonts w:ascii="Times New Roman" w:hAnsi="Times New Roman" w:cs="Times New Roman"/>
          <w:bCs/>
        </w:rPr>
      </w:pPr>
      <w:r>
        <w:rPr>
          <w:rFonts w:ascii="Times New Roman" w:hAnsi="Times New Roman" w:cs="Times New Roman"/>
          <w:bCs/>
        </w:rPr>
        <w:t>3</w:t>
      </w:r>
      <w:r>
        <w:rPr>
          <w:rFonts w:hint="eastAsia" w:ascii="Times New Roman" w:hAnsi="Times New Roman" w:cs="Times New Roman"/>
          <w:bCs/>
        </w:rPr>
        <w:t>、</w:t>
      </w:r>
      <w:r>
        <w:rPr>
          <w:rFonts w:ascii="Times New Roman" w:hAnsi="Times New Roman" w:cs="Times New Roman"/>
          <w:bCs/>
        </w:rPr>
        <w:t>交货地点：南京医科大学。</w:t>
      </w:r>
    </w:p>
    <w:p>
      <w:pPr>
        <w:spacing w:before="120" w:beforeLines="50" w:after="120" w:afterLines="50" w:line="500" w:lineRule="exact"/>
        <w:rPr>
          <w:rFonts w:ascii="Times New Roman" w:hAnsi="Times New Roman" w:eastAsia="宋体" w:cs="Times New Roman"/>
          <w:b/>
          <w:bCs/>
          <w:sz w:val="28"/>
          <w:szCs w:val="24"/>
        </w:rPr>
      </w:pPr>
      <w:r>
        <w:rPr>
          <w:rFonts w:ascii="Times New Roman" w:hAnsi="Times New Roman" w:eastAsia="宋体" w:cs="Times New Roman"/>
          <w:b/>
          <w:bCs/>
          <w:sz w:val="28"/>
          <w:szCs w:val="24"/>
        </w:rPr>
        <w:t>六、其他技术服务需求：</w:t>
      </w:r>
    </w:p>
    <w:p>
      <w:pPr>
        <w:spacing w:after="0" w:line="500" w:lineRule="exact"/>
        <w:ind w:firstLine="240" w:firstLineChars="100"/>
        <w:rPr>
          <w:rFonts w:ascii="Times New Roman" w:hAnsi="Times New Roman" w:eastAsia="宋体" w:cs="Times New Roman"/>
          <w:bCs/>
          <w:sz w:val="24"/>
          <w:szCs w:val="24"/>
        </w:rPr>
      </w:pPr>
      <w:r>
        <w:rPr>
          <w:rFonts w:ascii="Times New Roman" w:hAnsi="Times New Roman" w:eastAsia="宋体" w:cs="Times New Roman"/>
          <w:bCs/>
          <w:sz w:val="24"/>
          <w:szCs w:val="24"/>
        </w:rPr>
        <w:t>1、供应商须保证本次投标产品系优质材料和先进工艺制成新出厂的产品，且完全与投标文件所述相符。</w:t>
      </w:r>
    </w:p>
    <w:p>
      <w:pPr>
        <w:spacing w:after="0" w:line="500" w:lineRule="exact"/>
        <w:ind w:firstLine="240" w:firstLineChars="100"/>
        <w:rPr>
          <w:rFonts w:ascii="Times New Roman" w:hAnsi="Times New Roman" w:eastAsia="宋体" w:cs="Times New Roman"/>
          <w:bCs/>
          <w:sz w:val="24"/>
          <w:szCs w:val="24"/>
        </w:rPr>
      </w:pPr>
      <w:r>
        <w:rPr>
          <w:rFonts w:ascii="Times New Roman" w:hAnsi="Times New Roman" w:eastAsia="宋体" w:cs="Times New Roman"/>
          <w:bCs/>
          <w:sz w:val="24"/>
          <w:szCs w:val="24"/>
        </w:rPr>
        <w:t>2、交付使用前发生的产品硬件损坏和不合格，一律退换新品。在质保期开始的前三个月内，若发生产品损坏和性能不合格（非使用不当原因造成），除采购人同意修理者外，亦应退换新品。</w:t>
      </w:r>
    </w:p>
    <w:p>
      <w:pPr>
        <w:spacing w:before="120" w:beforeLines="50" w:after="120" w:afterLines="50" w:line="500" w:lineRule="exact"/>
        <w:rPr>
          <w:rFonts w:ascii="Times New Roman" w:hAnsi="Times New Roman" w:eastAsia="宋体" w:cs="Times New Roman"/>
          <w:b/>
          <w:bCs/>
          <w:sz w:val="28"/>
          <w:szCs w:val="24"/>
        </w:rPr>
      </w:pPr>
      <w:r>
        <w:rPr>
          <w:rFonts w:ascii="Times New Roman" w:hAnsi="Times New Roman" w:eastAsia="宋体" w:cs="Times New Roman"/>
          <w:b/>
          <w:bCs/>
          <w:sz w:val="28"/>
          <w:szCs w:val="24"/>
        </w:rPr>
        <w:t>七、货款支付</w:t>
      </w:r>
    </w:p>
    <w:p>
      <w:pPr>
        <w:spacing w:line="360" w:lineRule="auto"/>
        <w:ind w:firstLine="240" w:firstLineChars="100"/>
        <w:rPr>
          <w:rFonts w:ascii="Times New Roman" w:hAnsi="Times New Roman" w:eastAsia="宋体" w:cs="Times New Roman"/>
          <w:bCs/>
          <w:sz w:val="24"/>
          <w:szCs w:val="24"/>
        </w:rPr>
      </w:pPr>
      <w:r>
        <w:rPr>
          <w:rFonts w:ascii="Times New Roman" w:hAnsi="Times New Roman" w:eastAsia="宋体" w:cs="Times New Roman"/>
          <w:bCs/>
          <w:sz w:val="24"/>
          <w:szCs w:val="24"/>
        </w:rPr>
        <w:t>货到安装后以30天为验收期限，验收期满或验收合格后支付到合同金额的100%。</w:t>
      </w:r>
    </w:p>
    <w:p>
      <w:pPr>
        <w:adjustRightInd/>
        <w:snapToGrid/>
        <w:spacing w:after="0"/>
        <w:rPr>
          <w:rFonts w:ascii="宋体" w:hAnsi="宋体" w:eastAsia="宋体" w:cs="Times New Roman"/>
          <w:b/>
          <w:bCs/>
          <w:kern w:val="2"/>
          <w:sz w:val="44"/>
          <w:szCs w:val="44"/>
        </w:rPr>
      </w:pPr>
      <w:r>
        <w:rPr>
          <w:rFonts w:ascii="宋体" w:hAnsi="宋体" w:eastAsia="宋体"/>
          <w:b/>
          <w:bCs/>
          <w:sz w:val="44"/>
          <w:szCs w:val="44"/>
        </w:rPr>
        <w:br w:type="page"/>
      </w:r>
    </w:p>
    <w:p>
      <w:pPr>
        <w:pStyle w:val="3"/>
        <w:keepNext w:val="0"/>
        <w:keepLines/>
        <w:spacing w:line="360" w:lineRule="auto"/>
        <w:ind w:firstLine="883" w:firstLineChars="200"/>
        <w:rPr>
          <w:rFonts w:ascii="宋体" w:hAnsi="宋体" w:eastAsia="宋体"/>
          <w:bCs/>
          <w:sz w:val="44"/>
          <w:szCs w:val="44"/>
        </w:rPr>
      </w:pPr>
      <w:bookmarkStart w:id="166" w:name="_Toc1410"/>
      <w:r>
        <w:rPr>
          <w:rFonts w:hint="eastAsia" w:ascii="宋体" w:hAnsi="宋体" w:eastAsia="宋体"/>
          <w:b/>
          <w:bCs/>
          <w:sz w:val="44"/>
          <w:szCs w:val="44"/>
        </w:rPr>
        <w:t>第四章  评标方法与评标标准</w:t>
      </w:r>
      <w:bookmarkEnd w:id="166"/>
    </w:p>
    <w:p>
      <w:pPr>
        <w:spacing w:before="120" w:beforeLines="50" w:after="120" w:afterLines="50" w:line="500" w:lineRule="exact"/>
        <w:rPr>
          <w:rFonts w:ascii="Times New Roman" w:hAnsi="Times New Roman" w:eastAsia="宋体" w:cs="Times New Roman"/>
          <w:b/>
          <w:bCs/>
          <w:sz w:val="28"/>
          <w:szCs w:val="24"/>
        </w:rPr>
      </w:pPr>
      <w:r>
        <w:rPr>
          <w:rFonts w:hint="eastAsia" w:ascii="Times New Roman" w:hAnsi="Times New Roman" w:eastAsia="宋体" w:cs="Times New Roman"/>
          <w:b/>
          <w:bCs/>
          <w:sz w:val="28"/>
          <w:szCs w:val="24"/>
        </w:rPr>
        <w:t>一、评标方法与定标原则</w:t>
      </w:r>
    </w:p>
    <w:p>
      <w:pPr>
        <w:pStyle w:val="28"/>
        <w:ind w:firstLineChars="200"/>
        <w:rPr>
          <w:rFonts w:asciiTheme="minorEastAsia" w:hAnsiTheme="minorEastAsia" w:eastAsiaTheme="minorEastAsia"/>
          <w:b/>
        </w:rPr>
      </w:pPr>
      <w:r>
        <w:rPr>
          <w:rFonts w:hint="eastAsia" w:asciiTheme="minorEastAsia" w:hAnsiTheme="minorEastAsia" w:eastAsiaTheme="minorEastAsia"/>
          <w:bCs/>
        </w:rPr>
        <w:t>评委会将对确定为实质性响应招标文件要求的投标文件进行评价和比较，评标采用综合评分法。</w:t>
      </w:r>
      <w:r>
        <w:rPr>
          <w:rFonts w:cs="Arial" w:asciiTheme="minorEastAsia" w:hAnsiTheme="minorEastAsia" w:eastAsiaTheme="minor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before="120" w:beforeLines="50" w:after="120" w:afterLines="50" w:line="500" w:lineRule="exact"/>
        <w:rPr>
          <w:rFonts w:ascii="Times New Roman" w:hAnsi="Times New Roman" w:eastAsia="宋体" w:cs="Times New Roman"/>
          <w:b/>
          <w:bCs/>
          <w:sz w:val="28"/>
          <w:szCs w:val="24"/>
        </w:rPr>
      </w:pPr>
      <w:r>
        <w:rPr>
          <w:rFonts w:hint="eastAsia" w:ascii="Times New Roman" w:hAnsi="Times New Roman" w:eastAsia="宋体" w:cs="Times New Roman"/>
          <w:b/>
          <w:bCs/>
          <w:sz w:val="28"/>
          <w:szCs w:val="24"/>
        </w:rPr>
        <w:t>二、评标标准</w:t>
      </w:r>
    </w:p>
    <w:p>
      <w:pPr>
        <w:spacing w:line="360" w:lineRule="auto"/>
        <w:ind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本项目采用综合评分法确定中标候选人。评标委员会将按下列评分办法和标准进行评分，总分值为100分。</w:t>
      </w:r>
    </w:p>
    <w:bookmarkEnd w:id="164"/>
    <w:tbl>
      <w:tblPr>
        <w:tblStyle w:val="2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14"/>
        <w:gridCol w:w="6569"/>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Header/>
          <w:jc w:val="center"/>
        </w:trPr>
        <w:tc>
          <w:tcPr>
            <w:tcW w:w="653" w:type="dxa"/>
            <w:vAlign w:val="center"/>
          </w:tcPr>
          <w:p>
            <w:pPr>
              <w:jc w:val="center"/>
              <w:rPr>
                <w:rFonts w:ascii="Times New Roman" w:hAnsi="Times New Roman" w:cs="Times New Roman"/>
                <w:b/>
                <w:szCs w:val="21"/>
              </w:rPr>
            </w:pPr>
            <w:bookmarkStart w:id="167" w:name="_Hlk145538568"/>
            <w:r>
              <w:rPr>
                <w:rFonts w:ascii="Times New Roman" w:hAnsi="Times New Roman" w:cs="Times New Roman"/>
                <w:b/>
                <w:szCs w:val="21"/>
              </w:rPr>
              <w:t>序号</w:t>
            </w:r>
          </w:p>
        </w:tc>
        <w:tc>
          <w:tcPr>
            <w:tcW w:w="1414" w:type="dxa"/>
            <w:vAlign w:val="center"/>
          </w:tcPr>
          <w:p>
            <w:pPr>
              <w:jc w:val="center"/>
              <w:rPr>
                <w:rFonts w:ascii="Times New Roman" w:hAnsi="Times New Roman" w:cs="Times New Roman"/>
                <w:b/>
                <w:szCs w:val="21"/>
              </w:rPr>
            </w:pPr>
            <w:r>
              <w:rPr>
                <w:rFonts w:ascii="Times New Roman" w:hAnsi="Times New Roman" w:cs="Times New Roman"/>
                <w:b/>
                <w:szCs w:val="21"/>
              </w:rPr>
              <w:t>评分因素</w:t>
            </w:r>
          </w:p>
        </w:tc>
        <w:tc>
          <w:tcPr>
            <w:tcW w:w="6569" w:type="dxa"/>
            <w:vAlign w:val="center"/>
          </w:tcPr>
          <w:p>
            <w:pPr>
              <w:jc w:val="center"/>
              <w:rPr>
                <w:rFonts w:ascii="Times New Roman" w:hAnsi="Times New Roman" w:cs="Times New Roman"/>
                <w:b/>
                <w:szCs w:val="21"/>
              </w:rPr>
            </w:pPr>
            <w:r>
              <w:rPr>
                <w:rFonts w:ascii="Times New Roman" w:hAnsi="Times New Roman" w:cs="Times New Roman"/>
                <w:b/>
                <w:szCs w:val="21"/>
              </w:rPr>
              <w:t>评审细则</w:t>
            </w:r>
          </w:p>
        </w:tc>
        <w:tc>
          <w:tcPr>
            <w:tcW w:w="979" w:type="dxa"/>
            <w:vAlign w:val="center"/>
          </w:tcPr>
          <w:p>
            <w:pPr>
              <w:jc w:val="center"/>
              <w:rPr>
                <w:rFonts w:ascii="Times New Roman" w:hAnsi="Times New Roman" w:cs="Times New Roman"/>
                <w:b/>
                <w:szCs w:val="21"/>
              </w:rPr>
            </w:pPr>
            <w:r>
              <w:rPr>
                <w:rFonts w:ascii="Times New Roman" w:hAnsi="Times New Roman" w:cs="Times New Roman"/>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653" w:type="dxa"/>
            <w:vAlign w:val="center"/>
          </w:tcPr>
          <w:p>
            <w:pPr>
              <w:jc w:val="center"/>
              <w:rPr>
                <w:rFonts w:ascii="Times New Roman" w:hAnsi="Times New Roman" w:cs="Times New Roman"/>
                <w:bCs/>
                <w:szCs w:val="21"/>
              </w:rPr>
            </w:pPr>
            <w:r>
              <w:rPr>
                <w:rFonts w:ascii="Times New Roman" w:hAnsi="Times New Roman" w:cs="Times New Roman"/>
                <w:bCs/>
                <w:szCs w:val="21"/>
              </w:rPr>
              <w:t>1</w:t>
            </w:r>
          </w:p>
        </w:tc>
        <w:tc>
          <w:tcPr>
            <w:tcW w:w="1414" w:type="dxa"/>
            <w:vAlign w:val="center"/>
          </w:tcPr>
          <w:p>
            <w:pPr>
              <w:jc w:val="center"/>
              <w:rPr>
                <w:rFonts w:ascii="Times New Roman" w:hAnsi="Times New Roman" w:cs="Times New Roman"/>
                <w:bCs/>
                <w:szCs w:val="21"/>
              </w:rPr>
            </w:pPr>
            <w:r>
              <w:rPr>
                <w:rFonts w:ascii="Times New Roman" w:hAnsi="Times New Roman" w:cs="Times New Roman"/>
                <w:bCs/>
                <w:szCs w:val="21"/>
              </w:rPr>
              <w:t>价格</w:t>
            </w:r>
          </w:p>
        </w:tc>
        <w:tc>
          <w:tcPr>
            <w:tcW w:w="6569" w:type="dxa"/>
            <w:vAlign w:val="center"/>
          </w:tcPr>
          <w:p>
            <w:pPr>
              <w:rPr>
                <w:rFonts w:ascii="Times New Roman" w:hAnsi="Times New Roman" w:cs="Times New Roman"/>
                <w:bCs/>
                <w:szCs w:val="21"/>
              </w:rPr>
            </w:pPr>
            <w:r>
              <w:rPr>
                <w:rFonts w:ascii="Times New Roman" w:hAnsi="Times New Roman" w:cs="Times New Roman"/>
                <w:bCs/>
                <w:szCs w:val="21"/>
              </w:rPr>
              <w:t>本次招标以进入详细评审的各投标人投标报价的最低值为A值，A值为价格分的满分，即30分。</w:t>
            </w:r>
          </w:p>
          <w:p>
            <w:pPr>
              <w:rPr>
                <w:rFonts w:ascii="Times New Roman" w:hAnsi="Times New Roman" w:cs="Times New Roman"/>
                <w:bCs/>
                <w:szCs w:val="21"/>
              </w:rPr>
            </w:pPr>
            <w:r>
              <w:rPr>
                <w:rFonts w:ascii="Times New Roman" w:hAnsi="Times New Roman" w:cs="Times New Roman"/>
                <w:bCs/>
                <w:szCs w:val="21"/>
              </w:rPr>
              <w:t>其他投标人的价格分统一按照以下公式计算：</w:t>
            </w:r>
          </w:p>
          <w:p>
            <w:pPr>
              <w:rPr>
                <w:rFonts w:ascii="Times New Roman" w:hAnsi="Times New Roman" w:cs="Times New Roman"/>
                <w:bCs/>
                <w:szCs w:val="21"/>
              </w:rPr>
            </w:pPr>
            <w:r>
              <w:rPr>
                <w:rFonts w:ascii="Times New Roman" w:hAnsi="Times New Roman" w:cs="Times New Roman"/>
                <w:bCs/>
                <w:szCs w:val="21"/>
              </w:rPr>
              <w:t>投标人价格得分=（A／投标报价）×30。（保留小数点后两位）</w:t>
            </w:r>
          </w:p>
        </w:tc>
        <w:tc>
          <w:tcPr>
            <w:tcW w:w="979" w:type="dxa"/>
            <w:vAlign w:val="center"/>
          </w:tcPr>
          <w:p>
            <w:pPr>
              <w:jc w:val="center"/>
              <w:rPr>
                <w:rFonts w:ascii="Times New Roman" w:hAnsi="Times New Roman" w:cs="Times New Roman"/>
                <w:bCs/>
                <w:szCs w:val="21"/>
              </w:rPr>
            </w:pPr>
            <w:r>
              <w:rPr>
                <w:rFonts w:ascii="Times New Roman" w:hAnsi="Times New Roman" w:cs="Times New Roman"/>
                <w:bCs/>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53" w:type="dxa"/>
            <w:vAlign w:val="center"/>
          </w:tcPr>
          <w:p>
            <w:pPr>
              <w:jc w:val="center"/>
              <w:rPr>
                <w:rFonts w:ascii="Times New Roman" w:hAnsi="Times New Roman" w:cs="Times New Roman"/>
                <w:bCs/>
                <w:szCs w:val="21"/>
              </w:rPr>
            </w:pPr>
            <w:r>
              <w:rPr>
                <w:rFonts w:ascii="Times New Roman" w:hAnsi="Times New Roman" w:cs="Times New Roman"/>
                <w:bCs/>
                <w:szCs w:val="21"/>
              </w:rPr>
              <w:t>2</w:t>
            </w:r>
          </w:p>
        </w:tc>
        <w:tc>
          <w:tcPr>
            <w:tcW w:w="1414" w:type="dxa"/>
            <w:vAlign w:val="center"/>
          </w:tcPr>
          <w:p>
            <w:pPr>
              <w:jc w:val="center"/>
              <w:rPr>
                <w:rFonts w:ascii="Times New Roman" w:hAnsi="Times New Roman" w:cs="Times New Roman"/>
                <w:bCs/>
                <w:szCs w:val="21"/>
              </w:rPr>
            </w:pPr>
            <w:r>
              <w:rPr>
                <w:rFonts w:ascii="Times New Roman" w:hAnsi="Times New Roman" w:cs="Times New Roman"/>
                <w:bCs/>
                <w:szCs w:val="21"/>
              </w:rPr>
              <w:t>技术能力</w:t>
            </w:r>
          </w:p>
        </w:tc>
        <w:tc>
          <w:tcPr>
            <w:tcW w:w="6569" w:type="dxa"/>
            <w:vAlign w:val="center"/>
          </w:tcPr>
          <w:p>
            <w:pPr>
              <w:rPr>
                <w:rFonts w:ascii="Times New Roman" w:hAnsi="Times New Roman" w:cs="Times New Roman"/>
                <w:bCs/>
                <w:szCs w:val="21"/>
              </w:rPr>
            </w:pPr>
            <w:r>
              <w:rPr>
                <w:rFonts w:ascii="Times New Roman" w:hAnsi="Times New Roman" w:cs="Times New Roman"/>
                <w:bCs/>
                <w:szCs w:val="21"/>
              </w:rPr>
              <w:t xml:space="preserve">根据投标人对投标设备的功能、技术方案、技术参数、配置、性能情况是否符合或优于招标文件要求进行评价。带 </w:t>
            </w:r>
            <w:r>
              <w:rPr>
                <w:rFonts w:ascii="Times New Roman" w:hAnsi="Times New Roman" w:eastAsia="宋体" w:cs="Times New Roman"/>
                <w:sz w:val="24"/>
                <w:szCs w:val="24"/>
              </w:rPr>
              <w:t>★</w:t>
            </w:r>
            <w:r>
              <w:rPr>
                <w:rFonts w:ascii="Times New Roman" w:hAnsi="Times New Roman" w:cs="Times New Roman"/>
                <w:bCs/>
                <w:szCs w:val="21"/>
              </w:rPr>
              <w:t xml:space="preserve">条款为重要指标，如带 </w:t>
            </w:r>
            <w:r>
              <w:rPr>
                <w:rFonts w:ascii="Times New Roman" w:hAnsi="Times New Roman" w:eastAsia="宋体" w:cs="Times New Roman"/>
                <w:sz w:val="24"/>
                <w:szCs w:val="24"/>
              </w:rPr>
              <w:t>★</w:t>
            </w:r>
            <w:r>
              <w:rPr>
                <w:rFonts w:ascii="Times New Roman" w:hAnsi="Times New Roman" w:cs="Times New Roman"/>
              </w:rPr>
              <w:t xml:space="preserve"> </w:t>
            </w:r>
            <w:r>
              <w:rPr>
                <w:rFonts w:ascii="Times New Roman" w:hAnsi="Times New Roman" w:cs="Times New Roman"/>
                <w:bCs/>
                <w:szCs w:val="21"/>
              </w:rPr>
              <w:t>条款存在负偏离的，每一条负偏离扣7分；其他每一条负偏离扣5分；负偏离≥4条的本项不得分。</w:t>
            </w:r>
          </w:p>
        </w:tc>
        <w:tc>
          <w:tcPr>
            <w:tcW w:w="979" w:type="dxa"/>
            <w:vAlign w:val="center"/>
          </w:tcPr>
          <w:p>
            <w:pPr>
              <w:jc w:val="center"/>
              <w:rPr>
                <w:rFonts w:ascii="Times New Roman" w:hAnsi="Times New Roman" w:cs="Times New Roman"/>
                <w:bCs/>
                <w:szCs w:val="21"/>
              </w:rPr>
            </w:pPr>
            <w:r>
              <w:rPr>
                <w:rFonts w:ascii="Times New Roman" w:hAnsi="Times New Roman" w:cs="Times New Roman"/>
                <w:bCs/>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vAlign w:val="center"/>
          </w:tcPr>
          <w:p>
            <w:pPr>
              <w:jc w:val="center"/>
              <w:rPr>
                <w:rFonts w:ascii="Times New Roman" w:hAnsi="Times New Roman" w:cs="Times New Roman"/>
                <w:bCs/>
                <w:szCs w:val="21"/>
              </w:rPr>
            </w:pPr>
            <w:r>
              <w:rPr>
                <w:rFonts w:ascii="Times New Roman" w:hAnsi="Times New Roman" w:cs="Times New Roman"/>
                <w:bCs/>
                <w:szCs w:val="21"/>
              </w:rPr>
              <w:t>3</w:t>
            </w:r>
          </w:p>
        </w:tc>
        <w:tc>
          <w:tcPr>
            <w:tcW w:w="1414" w:type="dxa"/>
            <w:vAlign w:val="center"/>
          </w:tcPr>
          <w:p>
            <w:pPr>
              <w:jc w:val="center"/>
              <w:rPr>
                <w:rFonts w:ascii="Times New Roman" w:hAnsi="Times New Roman" w:cs="Times New Roman"/>
                <w:bCs/>
                <w:szCs w:val="21"/>
              </w:rPr>
            </w:pPr>
            <w:r>
              <w:rPr>
                <w:rFonts w:ascii="Times New Roman" w:hAnsi="Times New Roman" w:cs="Times New Roman"/>
                <w:bCs/>
                <w:szCs w:val="21"/>
              </w:rPr>
              <w:t>实施方案</w:t>
            </w:r>
          </w:p>
        </w:tc>
        <w:tc>
          <w:tcPr>
            <w:tcW w:w="6569" w:type="dxa"/>
            <w:vAlign w:val="center"/>
          </w:tcPr>
          <w:p>
            <w:pPr>
              <w:rPr>
                <w:rFonts w:ascii="Times New Roman" w:hAnsi="Times New Roman" w:cs="Times New Roman"/>
                <w:bCs/>
                <w:szCs w:val="21"/>
              </w:rPr>
            </w:pPr>
            <w:r>
              <w:rPr>
                <w:rFonts w:ascii="Times New Roman" w:hAnsi="Times New Roman" w:cs="Times New Roman"/>
                <w:bCs/>
                <w:szCs w:val="21"/>
              </w:rPr>
              <w:t>根据投标人提供的实施方案是否贴近用户实际需求给分。</w:t>
            </w:r>
          </w:p>
          <w:p>
            <w:pPr>
              <w:rPr>
                <w:rFonts w:ascii="Times New Roman" w:hAnsi="Times New Roman" w:cs="Times New Roman"/>
                <w:bCs/>
                <w:szCs w:val="21"/>
              </w:rPr>
            </w:pPr>
            <w:r>
              <w:rPr>
                <w:rFonts w:ascii="Times New Roman" w:hAnsi="Times New Roman" w:cs="Times New Roman"/>
                <w:bCs/>
                <w:szCs w:val="21"/>
              </w:rPr>
              <w:t>实施方案具体、可实施性强、贴近用户需求12分，实施方案一般、略有瑕疵 8分；实施方案较差、不切实际得2分。</w:t>
            </w:r>
          </w:p>
        </w:tc>
        <w:tc>
          <w:tcPr>
            <w:tcW w:w="979" w:type="dxa"/>
            <w:vAlign w:val="center"/>
          </w:tcPr>
          <w:p>
            <w:pPr>
              <w:jc w:val="center"/>
              <w:rPr>
                <w:rFonts w:ascii="Times New Roman" w:hAnsi="Times New Roman" w:cs="Times New Roman"/>
                <w:bCs/>
                <w:szCs w:val="21"/>
              </w:rPr>
            </w:pPr>
            <w:r>
              <w:rPr>
                <w:rFonts w:ascii="Times New Roman" w:hAnsi="Times New Roman" w:cs="Times New Roman"/>
                <w:bCs/>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53" w:type="dxa"/>
            <w:vAlign w:val="center"/>
          </w:tcPr>
          <w:p>
            <w:pPr>
              <w:jc w:val="center"/>
              <w:rPr>
                <w:rFonts w:ascii="Times New Roman" w:hAnsi="Times New Roman" w:cs="Times New Roman"/>
                <w:bCs/>
                <w:szCs w:val="21"/>
              </w:rPr>
            </w:pPr>
            <w:r>
              <w:rPr>
                <w:rFonts w:ascii="Times New Roman" w:hAnsi="Times New Roman" w:cs="Times New Roman"/>
                <w:bCs/>
                <w:szCs w:val="21"/>
              </w:rPr>
              <w:t>4</w:t>
            </w:r>
          </w:p>
        </w:tc>
        <w:tc>
          <w:tcPr>
            <w:tcW w:w="1414" w:type="dxa"/>
            <w:vAlign w:val="center"/>
          </w:tcPr>
          <w:p>
            <w:pPr>
              <w:jc w:val="center"/>
              <w:rPr>
                <w:rFonts w:ascii="Times New Roman" w:hAnsi="Times New Roman" w:cs="Times New Roman"/>
                <w:bCs/>
                <w:szCs w:val="21"/>
              </w:rPr>
            </w:pPr>
            <w:r>
              <w:rPr>
                <w:rFonts w:ascii="Times New Roman" w:hAnsi="Times New Roman" w:cs="Times New Roman"/>
                <w:bCs/>
                <w:szCs w:val="21"/>
              </w:rPr>
              <w:t>售后服务方案</w:t>
            </w:r>
          </w:p>
        </w:tc>
        <w:tc>
          <w:tcPr>
            <w:tcW w:w="6569" w:type="dxa"/>
            <w:vAlign w:val="center"/>
          </w:tcPr>
          <w:p>
            <w:pPr>
              <w:pStyle w:val="8"/>
              <w:rPr>
                <w:rFonts w:ascii="Times New Roman" w:hAnsi="Times New Roman" w:eastAsia="微软雅黑" w:cs="Times New Roman"/>
                <w:bCs/>
                <w:sz w:val="22"/>
                <w:szCs w:val="21"/>
              </w:rPr>
            </w:pPr>
            <w:r>
              <w:rPr>
                <w:rFonts w:ascii="Times New Roman" w:hAnsi="Times New Roman" w:eastAsia="微软雅黑" w:cs="Times New Roman"/>
                <w:bCs/>
                <w:sz w:val="22"/>
                <w:szCs w:val="21"/>
              </w:rPr>
              <w:t>根据提供的售后服务方案（如服务体系、服务内容、故障解决方案、响应时间、专业技术人员保障及服务电话等）及培训方案等打分。完善且贴近采购人需求的得 12 分，基本符合采购人需求得8分，部分不符合得5分，未提供得 0 分。</w:t>
            </w:r>
          </w:p>
        </w:tc>
        <w:tc>
          <w:tcPr>
            <w:tcW w:w="979" w:type="dxa"/>
            <w:vAlign w:val="center"/>
          </w:tcPr>
          <w:p>
            <w:pPr>
              <w:jc w:val="center"/>
              <w:rPr>
                <w:rFonts w:ascii="Times New Roman" w:hAnsi="Times New Roman" w:cs="Times New Roman"/>
                <w:bCs/>
                <w:szCs w:val="21"/>
              </w:rPr>
            </w:pPr>
            <w:r>
              <w:rPr>
                <w:rFonts w:ascii="Times New Roman" w:hAnsi="Times New Roman" w:cs="Times New Roman"/>
                <w:bCs/>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53" w:type="dxa"/>
            <w:vAlign w:val="center"/>
          </w:tcPr>
          <w:p>
            <w:pPr>
              <w:jc w:val="center"/>
              <w:rPr>
                <w:rFonts w:ascii="Times New Roman" w:hAnsi="Times New Roman" w:cs="Times New Roman"/>
                <w:bCs/>
                <w:szCs w:val="21"/>
              </w:rPr>
            </w:pPr>
            <w:r>
              <w:rPr>
                <w:rFonts w:ascii="Times New Roman" w:hAnsi="Times New Roman" w:cs="Times New Roman"/>
                <w:bCs/>
                <w:szCs w:val="21"/>
              </w:rPr>
              <w:t>5</w:t>
            </w:r>
          </w:p>
        </w:tc>
        <w:tc>
          <w:tcPr>
            <w:tcW w:w="1414" w:type="dxa"/>
            <w:vAlign w:val="center"/>
          </w:tcPr>
          <w:p>
            <w:pPr>
              <w:jc w:val="center"/>
              <w:rPr>
                <w:rFonts w:ascii="Times New Roman" w:hAnsi="Times New Roman" w:cs="Times New Roman"/>
                <w:bCs/>
                <w:szCs w:val="21"/>
              </w:rPr>
            </w:pPr>
            <w:r>
              <w:rPr>
                <w:rFonts w:ascii="Times New Roman" w:hAnsi="Times New Roman" w:cs="Times New Roman"/>
                <w:bCs/>
                <w:szCs w:val="21"/>
              </w:rPr>
              <w:t>免费质保期</w:t>
            </w:r>
          </w:p>
        </w:tc>
        <w:tc>
          <w:tcPr>
            <w:tcW w:w="6569" w:type="dxa"/>
            <w:vAlign w:val="center"/>
          </w:tcPr>
          <w:p>
            <w:pPr>
              <w:rPr>
                <w:rFonts w:ascii="Times New Roman" w:hAnsi="Times New Roman" w:cs="Times New Roman"/>
                <w:bCs/>
                <w:szCs w:val="21"/>
              </w:rPr>
            </w:pPr>
            <w:r>
              <w:rPr>
                <w:rFonts w:ascii="Times New Roman" w:hAnsi="Times New Roman" w:cs="Times New Roman"/>
                <w:bCs/>
                <w:szCs w:val="21"/>
              </w:rPr>
              <w:t>项目整体及所有设备满足招标文件免费质保期要求不得分，在此基础上免费质保每增加1年加2.5分，最多加5分，本项最高得 5分。</w:t>
            </w:r>
          </w:p>
        </w:tc>
        <w:tc>
          <w:tcPr>
            <w:tcW w:w="979" w:type="dxa"/>
            <w:vAlign w:val="center"/>
          </w:tcPr>
          <w:p>
            <w:pPr>
              <w:jc w:val="center"/>
              <w:rPr>
                <w:rFonts w:ascii="Times New Roman" w:hAnsi="Times New Roman" w:cs="Times New Roman"/>
                <w:bCs/>
                <w:szCs w:val="21"/>
              </w:rPr>
            </w:pPr>
            <w:r>
              <w:rPr>
                <w:rFonts w:ascii="Times New Roman" w:hAnsi="Times New Roman" w:cs="Times New Roman"/>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653" w:type="dxa"/>
            <w:vAlign w:val="center"/>
          </w:tcPr>
          <w:p>
            <w:pPr>
              <w:jc w:val="center"/>
              <w:rPr>
                <w:rFonts w:ascii="Times New Roman" w:hAnsi="Times New Roman" w:cs="Times New Roman"/>
                <w:bCs/>
                <w:szCs w:val="21"/>
              </w:rPr>
            </w:pPr>
            <w:r>
              <w:rPr>
                <w:rFonts w:ascii="Times New Roman" w:hAnsi="Times New Roman" w:cs="Times New Roman"/>
                <w:bCs/>
                <w:szCs w:val="21"/>
              </w:rPr>
              <w:t>6</w:t>
            </w:r>
          </w:p>
        </w:tc>
        <w:tc>
          <w:tcPr>
            <w:tcW w:w="1414" w:type="dxa"/>
            <w:vAlign w:val="center"/>
          </w:tcPr>
          <w:p>
            <w:pPr>
              <w:jc w:val="center"/>
              <w:rPr>
                <w:rFonts w:ascii="Times New Roman" w:hAnsi="Times New Roman" w:cs="Times New Roman"/>
                <w:bCs/>
                <w:szCs w:val="21"/>
              </w:rPr>
            </w:pPr>
            <w:r>
              <w:rPr>
                <w:rFonts w:ascii="Times New Roman" w:hAnsi="Times New Roman" w:cs="Times New Roman"/>
                <w:bCs/>
                <w:szCs w:val="21"/>
              </w:rPr>
              <w:t>项目业绩</w:t>
            </w:r>
          </w:p>
        </w:tc>
        <w:tc>
          <w:tcPr>
            <w:tcW w:w="6569" w:type="dxa"/>
            <w:vAlign w:val="center"/>
          </w:tcPr>
          <w:p>
            <w:pPr>
              <w:rPr>
                <w:rFonts w:ascii="Times New Roman" w:hAnsi="Times New Roman" w:cs="Times New Roman"/>
                <w:bCs/>
                <w:szCs w:val="21"/>
              </w:rPr>
            </w:pPr>
            <w:r>
              <w:rPr>
                <w:rFonts w:ascii="Times New Roman" w:hAnsi="Times New Roman" w:cs="Times New Roman"/>
                <w:bCs/>
                <w:szCs w:val="21"/>
              </w:rPr>
              <w:t>提供所投同类产品2020年08月01日以来国内的销售业绩（须提供加盖公章的有效的合同复印件，原件备查），每提供一份得2分，最多得6分，不提供不得分。</w:t>
            </w:r>
          </w:p>
        </w:tc>
        <w:tc>
          <w:tcPr>
            <w:tcW w:w="979" w:type="dxa"/>
            <w:vAlign w:val="center"/>
          </w:tcPr>
          <w:p>
            <w:pPr>
              <w:jc w:val="center"/>
              <w:rPr>
                <w:rFonts w:ascii="Times New Roman" w:hAnsi="Times New Roman" w:cs="Times New Roman"/>
                <w:bCs/>
                <w:szCs w:val="21"/>
              </w:rPr>
            </w:pPr>
            <w:r>
              <w:rPr>
                <w:rFonts w:ascii="Times New Roman" w:hAnsi="Times New Roman" w:cs="Times New Roman"/>
                <w:bCs/>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36" w:type="dxa"/>
            <w:gridSpan w:val="3"/>
            <w:vAlign w:val="bottom"/>
          </w:tcPr>
          <w:p>
            <w:pPr>
              <w:jc w:val="center"/>
              <w:rPr>
                <w:rFonts w:ascii="Times New Roman" w:hAnsi="Times New Roman" w:cs="Times New Roman"/>
                <w:bCs/>
                <w:szCs w:val="21"/>
              </w:rPr>
            </w:pPr>
            <w:r>
              <w:rPr>
                <w:rFonts w:ascii="Times New Roman" w:hAnsi="Times New Roman" w:cs="Times New Roman"/>
                <w:bCs/>
                <w:szCs w:val="21"/>
              </w:rPr>
              <w:t>合计</w:t>
            </w:r>
          </w:p>
        </w:tc>
        <w:tc>
          <w:tcPr>
            <w:tcW w:w="979" w:type="dxa"/>
            <w:vAlign w:val="center"/>
          </w:tcPr>
          <w:p>
            <w:pPr>
              <w:jc w:val="center"/>
              <w:rPr>
                <w:rFonts w:ascii="Times New Roman" w:hAnsi="Times New Roman" w:cs="Times New Roman"/>
                <w:bCs/>
                <w:szCs w:val="21"/>
              </w:rPr>
            </w:pPr>
            <w:r>
              <w:rPr>
                <w:rFonts w:ascii="Times New Roman" w:hAnsi="Times New Roman" w:cs="Times New Roman"/>
                <w:bCs/>
                <w:szCs w:val="21"/>
              </w:rPr>
              <w:fldChar w:fldCharType="begin"/>
            </w:r>
            <w:r>
              <w:rPr>
                <w:rFonts w:ascii="Times New Roman" w:hAnsi="Times New Roman" w:cs="Times New Roman"/>
                <w:bCs/>
                <w:szCs w:val="21"/>
              </w:rPr>
              <w:instrText xml:space="preserve"> =SUM(ABOVE) \* MERGEFORMAT </w:instrText>
            </w:r>
            <w:r>
              <w:rPr>
                <w:rFonts w:ascii="Times New Roman" w:hAnsi="Times New Roman" w:cs="Times New Roman"/>
                <w:bCs/>
                <w:szCs w:val="21"/>
              </w:rPr>
              <w:fldChar w:fldCharType="separate"/>
            </w:r>
            <w:r>
              <w:rPr>
                <w:rFonts w:ascii="Times New Roman" w:hAnsi="Times New Roman" w:cs="Times New Roman"/>
                <w:bCs/>
                <w:szCs w:val="21"/>
              </w:rPr>
              <w:t>100</w:t>
            </w:r>
            <w:r>
              <w:rPr>
                <w:rFonts w:ascii="Times New Roman" w:hAnsi="Times New Roman" w:cs="Times New Roman"/>
                <w:bCs/>
                <w:szCs w:val="21"/>
              </w:rPr>
              <w:fldChar w:fldCharType="end"/>
            </w:r>
          </w:p>
        </w:tc>
      </w:tr>
      <w:bookmarkEnd w:id="167"/>
    </w:tbl>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pStyle w:val="28"/>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pStyle w:val="3"/>
        <w:pageBreakBefore/>
        <w:rPr>
          <w:rFonts w:ascii="宋体" w:hAnsi="宋体" w:eastAsia="宋体"/>
          <w:b/>
          <w:bCs/>
          <w:sz w:val="44"/>
        </w:rPr>
      </w:pPr>
      <w:bookmarkStart w:id="168" w:name="_Toc29394"/>
      <w:r>
        <w:rPr>
          <w:rFonts w:hint="eastAsia" w:ascii="宋体" w:hAnsi="宋体" w:eastAsia="宋体"/>
          <w:b/>
          <w:bCs/>
          <w:sz w:val="44"/>
        </w:rPr>
        <w:t>第五章  投标文件格式</w:t>
      </w:r>
      <w:bookmarkEnd w:id="168"/>
      <w:r>
        <w:rPr>
          <w:rFonts w:hint="eastAsia" w:ascii="宋体" w:hAnsi="宋体" w:eastAsia="宋体"/>
          <w:b/>
          <w:bCs/>
          <w:sz w:val="44"/>
        </w:rPr>
        <w:t xml:space="preserve"> </w:t>
      </w:r>
    </w:p>
    <w:p>
      <w:pPr>
        <w:jc w:val="center"/>
        <w:rPr>
          <w:rFonts w:ascii="宋体" w:hAnsi="宋体"/>
          <w:b/>
          <w:sz w:val="72"/>
        </w:rPr>
      </w:pPr>
      <w:bookmarkStart w:id="169" w:name="_Hlt26955039"/>
      <w:bookmarkEnd w:id="169"/>
      <w:bookmarkStart w:id="170" w:name="_Hlt26671244"/>
      <w:bookmarkEnd w:id="170"/>
      <w:bookmarkStart w:id="171" w:name="_Toc26554094"/>
      <w:bookmarkStart w:id="172" w:name="_Toc49090576"/>
      <w:bookmarkStart w:id="173" w:name="_Toc120614282"/>
    </w:p>
    <w:p>
      <w:pPr>
        <w:jc w:val="center"/>
        <w:rPr>
          <w:rFonts w:ascii="宋体" w:hAnsi="宋体"/>
          <w:b/>
          <w:sz w:val="72"/>
        </w:rPr>
      </w:pPr>
      <w:r>
        <w:rPr>
          <w:rFonts w:hint="eastAsia" w:ascii="宋体" w:hAnsi="宋体"/>
          <w:b/>
          <w:sz w:val="72"/>
        </w:rPr>
        <w:t>投  标  文  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 目 名 称：</w:t>
      </w:r>
    </w:p>
    <w:p>
      <w:pPr>
        <w:ind w:firstLine="1081" w:firstLineChars="300"/>
        <w:rPr>
          <w:rFonts w:ascii="宋体" w:hAnsi="宋体"/>
          <w:b/>
          <w:sz w:val="36"/>
          <w:u w:val="single"/>
        </w:rPr>
      </w:pPr>
      <w:r>
        <w:rPr>
          <w:rFonts w:hint="eastAsia" w:ascii="宋体" w:hAnsi="宋体"/>
          <w:b/>
          <w:sz w:val="36"/>
        </w:rPr>
        <w:t>招 标 编 号：</w:t>
      </w:r>
    </w:p>
    <w:p>
      <w:pPr>
        <w:rPr>
          <w:rFonts w:ascii="宋体" w:hAnsi="宋体"/>
          <w:b/>
          <w:sz w:val="36"/>
          <w:u w:val="single"/>
        </w:rPr>
      </w:pPr>
      <w:r>
        <w:rPr>
          <w:rFonts w:hint="eastAsia" w:ascii="宋体" w:hAnsi="宋体"/>
          <w:b/>
          <w:sz w:val="36"/>
        </w:rPr>
        <w:t xml:space="preserve">      投标人名称 ：</w:t>
      </w:r>
    </w:p>
    <w:p>
      <w:pPr>
        <w:rPr>
          <w:rFonts w:ascii="宋体" w:hAnsi="宋体"/>
          <w:b/>
          <w:sz w:val="36"/>
        </w:rPr>
      </w:pPr>
      <w:r>
        <w:rPr>
          <w:rFonts w:hint="eastAsia" w:ascii="宋体" w:hAnsi="宋体"/>
          <w:b/>
          <w:sz w:val="36"/>
        </w:rPr>
        <w:t xml:space="preserve">      日      期 ：</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8"/>
        <w:ind w:firstLine="0"/>
        <w:jc w:val="center"/>
        <w:rPr>
          <w:rFonts w:ascii="宋体" w:hAnsi="宋体" w:cs="宋体"/>
          <w:b/>
        </w:rPr>
      </w:pPr>
      <w:bookmarkStart w:id="174" w:name="_Toc517190894"/>
      <w:r>
        <w:rPr>
          <w:rFonts w:hint="eastAsia" w:ascii="宋体" w:hAnsi="宋体" w:cs="宋体"/>
          <w:b/>
        </w:rPr>
        <w:t>投标函格式</w:t>
      </w:r>
      <w:bookmarkEnd w:id="174"/>
    </w:p>
    <w:p>
      <w:pPr>
        <w:pStyle w:val="28"/>
        <w:spacing w:before="0" w:after="0" w:line="420" w:lineRule="exact"/>
        <w:ind w:firstLine="0"/>
        <w:rPr>
          <w:rFonts w:ascii="宋体" w:hAnsi="宋体" w:cs="宋体"/>
          <w:kern w:val="2"/>
        </w:rPr>
      </w:pPr>
      <w:r>
        <w:rPr>
          <w:rFonts w:hint="eastAsia" w:ascii="宋体" w:hAnsi="宋体" w:cs="宋体"/>
          <w:kern w:val="2"/>
        </w:rPr>
        <w:t>致：南京医科大学</w:t>
      </w:r>
    </w:p>
    <w:p>
      <w:pPr>
        <w:pStyle w:val="28"/>
        <w:spacing w:before="0" w:after="0" w:line="420" w:lineRule="exact"/>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28"/>
        <w:spacing w:before="0" w:after="0" w:line="420" w:lineRule="exact"/>
        <w:ind w:firstLineChars="200"/>
        <w:rPr>
          <w:rFonts w:ascii="宋体" w:hAnsi="宋体" w:cs="宋体"/>
          <w:kern w:val="2"/>
        </w:rPr>
      </w:pPr>
      <w:r>
        <w:rPr>
          <w:rFonts w:hint="eastAsia" w:ascii="宋体" w:hAnsi="宋体" w:cs="宋体"/>
          <w:kern w:val="2"/>
        </w:rPr>
        <w:t>据此函，我公司宣布同意如下：</w:t>
      </w:r>
    </w:p>
    <w:p>
      <w:pPr>
        <w:pStyle w:val="28"/>
        <w:spacing w:before="0" w:after="0" w:line="420" w:lineRule="exact"/>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28"/>
        <w:spacing w:before="0" w:after="0" w:line="420" w:lineRule="exact"/>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28"/>
        <w:spacing w:before="0" w:after="0" w:line="420" w:lineRule="exact"/>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28"/>
        <w:spacing w:before="0" w:after="0" w:line="420" w:lineRule="exact"/>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28"/>
        <w:spacing w:before="0" w:after="0" w:line="420" w:lineRule="exact"/>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28"/>
        <w:spacing w:before="0" w:after="0" w:line="420" w:lineRule="exact"/>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28"/>
        <w:spacing w:before="0" w:after="0" w:line="420" w:lineRule="exact"/>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28"/>
        <w:spacing w:before="0" w:after="0" w:line="420" w:lineRule="exact"/>
        <w:ind w:left="425" w:firstLine="120" w:firstLineChars="50"/>
        <w:rPr>
          <w:rFonts w:ascii="宋体" w:hAnsi="宋体" w:cs="宋体"/>
          <w:kern w:val="2"/>
        </w:rPr>
      </w:pPr>
      <w:r>
        <w:rPr>
          <w:rFonts w:hint="eastAsia" w:ascii="宋体" w:hAnsi="宋体" w:cs="宋体"/>
          <w:kern w:val="2"/>
        </w:rPr>
        <w:t>8.与本投标有关的正式通讯地址为：</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地址：</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邮编：                           电话：</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传真：</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投标人开户行名称：</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投标人名称：</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 xml:space="preserve">账号： </w:t>
      </w:r>
    </w:p>
    <w:p>
      <w:pPr>
        <w:pStyle w:val="28"/>
        <w:spacing w:before="0" w:after="0" w:line="420" w:lineRule="exact"/>
        <w:ind w:left="440" w:leftChars="200" w:firstLine="482" w:firstLineChars="200"/>
        <w:rPr>
          <w:rFonts w:ascii="宋体" w:hAnsi="宋体" w:cs="宋体"/>
          <w:kern w:val="2"/>
        </w:rPr>
      </w:pPr>
      <w:r>
        <w:rPr>
          <w:rFonts w:hint="eastAsia" w:ascii="宋体" w:hAnsi="宋体" w:cs="宋体"/>
          <w:b/>
          <w:kern w:val="2"/>
          <w:u w:val="single"/>
        </w:rPr>
        <w:t>投标人授权代表姓名（签字）</w:t>
      </w:r>
      <w:r>
        <w:rPr>
          <w:rFonts w:hint="eastAsia" w:ascii="宋体" w:hAnsi="宋体" w:cs="宋体"/>
          <w:kern w:val="2"/>
        </w:rPr>
        <w:t xml:space="preserve">： </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 xml:space="preserve">投标人名称（公章）： </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法人（签字）：</w:t>
      </w:r>
    </w:p>
    <w:p>
      <w:pPr>
        <w:pStyle w:val="28"/>
        <w:spacing w:before="0" w:after="0" w:line="420" w:lineRule="exact"/>
        <w:ind w:left="440" w:leftChars="200" w:firstLine="3000" w:firstLineChars="1250"/>
        <w:rPr>
          <w:rFonts w:ascii="宋体" w:hAnsi="宋体" w:cs="宋体"/>
          <w:kern w:val="2"/>
        </w:rPr>
      </w:pPr>
    </w:p>
    <w:p>
      <w:pPr>
        <w:pStyle w:val="28"/>
        <w:spacing w:before="0" w:after="0" w:line="420" w:lineRule="exact"/>
        <w:jc w:val="right"/>
        <w:rPr>
          <w:rFonts w:ascii="宋体" w:hAnsi="宋体" w:cs="宋体"/>
          <w:kern w:val="2"/>
        </w:rPr>
      </w:pPr>
      <w:r>
        <w:rPr>
          <w:rFonts w:hint="eastAsia" w:ascii="宋体" w:hAnsi="宋体" w:cs="宋体"/>
          <w:kern w:val="2"/>
        </w:rPr>
        <w:t>日期： ____年__月__日</w:t>
      </w:r>
    </w:p>
    <w:p>
      <w:pPr>
        <w:spacing w:before="50" w:after="120" w:afterLines="50"/>
        <w:rPr>
          <w:rFonts w:ascii="宋体" w:hAnsi="宋体" w:eastAsia="宋体" w:cs="宋体"/>
          <w:sz w:val="24"/>
          <w:szCs w:val="24"/>
        </w:rPr>
      </w:pPr>
    </w:p>
    <w:p>
      <w:pPr>
        <w:pStyle w:val="28"/>
        <w:ind w:firstLine="0"/>
        <w:jc w:val="center"/>
        <w:rPr>
          <w:rFonts w:ascii="宋体" w:hAnsi="宋体" w:cs="宋体"/>
          <w:b/>
        </w:rPr>
      </w:pPr>
      <w:bookmarkStart w:id="175" w:name="_Toc517190895"/>
    </w:p>
    <w:p>
      <w:pPr>
        <w:pStyle w:val="28"/>
        <w:ind w:firstLine="0"/>
        <w:jc w:val="center"/>
        <w:rPr>
          <w:rFonts w:ascii="宋体" w:hAnsi="宋体" w:cs="宋体"/>
          <w:b/>
        </w:rPr>
      </w:pPr>
      <w:r>
        <w:rPr>
          <w:rFonts w:hint="eastAsia" w:ascii="宋体" w:hAnsi="宋体" w:cs="宋体"/>
          <w:b/>
        </w:rPr>
        <w:t>法人授权书</w:t>
      </w:r>
      <w:bookmarkEnd w:id="175"/>
    </w:p>
    <w:p>
      <w:pPr>
        <w:pStyle w:val="44"/>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____________</w:t>
      </w:r>
      <w:r>
        <w:rPr>
          <w:rFonts w:hint="eastAsia" w:ascii="宋体" w:hAnsi="宋体" w:cs="宋体"/>
          <w:sz w:val="24"/>
          <w:szCs w:val="24"/>
        </w:rPr>
        <w:t>（供应商名称）授权</w:t>
      </w:r>
      <w:r>
        <w:rPr>
          <w:rFonts w:hint="eastAsia" w:ascii="宋体" w:hAnsi="宋体" w:cs="宋体"/>
          <w:sz w:val="24"/>
          <w:szCs w:val="24"/>
          <w:u w:val="single"/>
        </w:rPr>
        <w:t>________________</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44"/>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44"/>
        <w:spacing w:line="360" w:lineRule="auto"/>
        <w:ind w:firstLine="480"/>
        <w:rPr>
          <w:rFonts w:ascii="宋体" w:hAnsi="宋体" w:cs="宋体"/>
          <w:sz w:val="24"/>
          <w:szCs w:val="24"/>
        </w:rPr>
      </w:pPr>
      <w:r>
        <w:rPr>
          <w:rFonts w:hint="eastAsia" w:ascii="宋体" w:hAnsi="宋体" w:cs="宋体"/>
          <w:sz w:val="24"/>
          <w:szCs w:val="24"/>
        </w:rPr>
        <w:t>代理人（被授权人）：</w:t>
      </w:r>
      <w:r>
        <w:rPr>
          <w:rFonts w:hint="eastAsia" w:ascii="宋体" w:hAnsi="宋体" w:cs="宋体"/>
          <w:sz w:val="24"/>
          <w:szCs w:val="24"/>
          <w:u w:val="single"/>
        </w:rPr>
        <w:t>_______________________</w:t>
      </w:r>
    </w:p>
    <w:p>
      <w:pPr>
        <w:pStyle w:val="44"/>
        <w:spacing w:line="360" w:lineRule="auto"/>
        <w:ind w:firstLine="480"/>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_____________________    _   _  </w:t>
      </w:r>
    </w:p>
    <w:p>
      <w:pPr>
        <w:pStyle w:val="44"/>
        <w:spacing w:line="360" w:lineRule="auto"/>
        <w:ind w:firstLine="480"/>
        <w:rPr>
          <w:rFonts w:ascii="宋体" w:hAnsi="宋体" w:cs="宋体"/>
          <w:sz w:val="24"/>
          <w:szCs w:val="24"/>
        </w:rPr>
      </w:pPr>
      <w:r>
        <w:rPr>
          <w:rFonts w:hint="eastAsia" w:ascii="宋体" w:hAnsi="宋体" w:cs="宋体"/>
          <w:sz w:val="24"/>
          <w:szCs w:val="24"/>
        </w:rPr>
        <w:t>联系电话：（手机）___________</w:t>
      </w:r>
      <w:r>
        <w:rPr>
          <w:rFonts w:hint="eastAsia" w:ascii="宋体" w:hAnsi="宋体" w:cs="宋体"/>
          <w:sz w:val="24"/>
          <w:szCs w:val="24"/>
          <w:u w:val="single"/>
        </w:rPr>
        <w:t xml:space="preserve">___  _________   </w:t>
      </w:r>
      <w:r>
        <w:rPr>
          <w:rFonts w:hint="eastAsia" w:ascii="宋体" w:hAnsi="宋体" w:cs="宋体"/>
          <w:sz w:val="24"/>
          <w:szCs w:val="24"/>
        </w:rPr>
        <w:t xml:space="preserve">     </w:t>
      </w:r>
    </w:p>
    <w:p>
      <w:pPr>
        <w:pStyle w:val="44"/>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44"/>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44"/>
        <w:spacing w:line="360" w:lineRule="auto"/>
        <w:ind w:firstLine="480"/>
        <w:jc w:val="right"/>
        <w:rPr>
          <w:rFonts w:ascii="宋体" w:hAnsi="宋体" w:cs="宋体"/>
          <w:sz w:val="24"/>
          <w:szCs w:val="24"/>
        </w:rPr>
      </w:pPr>
    </w:p>
    <w:p>
      <w:pPr>
        <w:pStyle w:val="44"/>
        <w:spacing w:line="360" w:lineRule="auto"/>
        <w:ind w:firstLine="480"/>
        <w:rPr>
          <w:rFonts w:ascii="宋体" w:hAnsi="宋体" w:cs="宋体"/>
          <w:sz w:val="24"/>
          <w:szCs w:val="24"/>
        </w:rPr>
      </w:pPr>
      <w:r>
        <w:rPr>
          <w:rFonts w:hint="eastAsia" w:ascii="宋体" w:hAnsi="宋体" w:cs="宋体"/>
          <w:sz w:val="24"/>
          <w:szCs w:val="24"/>
        </w:rPr>
        <w:t>法人签字：</w:t>
      </w:r>
    </w:p>
    <w:p>
      <w:pPr>
        <w:pStyle w:val="44"/>
        <w:spacing w:line="360" w:lineRule="auto"/>
        <w:ind w:firstLine="480"/>
        <w:rPr>
          <w:rFonts w:ascii="宋体" w:hAnsi="宋体" w:cs="宋体"/>
          <w:sz w:val="24"/>
          <w:szCs w:val="24"/>
        </w:rPr>
      </w:pPr>
      <w:r>
        <w:rPr>
          <w:rFonts w:hint="eastAsia" w:ascii="宋体" w:hAnsi="宋体" w:cs="宋体"/>
          <w:sz w:val="24"/>
          <w:szCs w:val="24"/>
        </w:rPr>
        <w:t>授权单位盖章：</w:t>
      </w:r>
    </w:p>
    <w:p>
      <w:pPr>
        <w:pStyle w:val="44"/>
        <w:spacing w:line="360" w:lineRule="auto"/>
        <w:ind w:firstLine="480"/>
        <w:jc w:val="right"/>
        <w:rPr>
          <w:rFonts w:ascii="宋体" w:hAnsi="宋体" w:cs="宋体"/>
          <w:sz w:val="24"/>
          <w:szCs w:val="24"/>
        </w:rPr>
      </w:pPr>
    </w:p>
    <w:p>
      <w:pPr>
        <w:pStyle w:val="44"/>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6"/>
        <w:rPr>
          <w:rFonts w:ascii="宋体" w:hAnsi="宋体" w:eastAsia="宋体" w:cs="宋体"/>
          <w:sz w:val="24"/>
          <w:szCs w:val="24"/>
        </w:rPr>
      </w:pPr>
      <w:bookmarkStart w:id="176" w:name="_Hlt26671380"/>
      <w:bookmarkEnd w:id="176"/>
      <w:bookmarkStart w:id="177" w:name="_格式3__银行出具的资信证明"/>
      <w:bookmarkEnd w:id="177"/>
      <w:bookmarkStart w:id="178" w:name="_Hlt26955070"/>
      <w:bookmarkEnd w:id="178"/>
    </w:p>
    <w:p>
      <w:pPr>
        <w:pStyle w:val="4"/>
        <w:rPr>
          <w:rFonts w:ascii="宋体" w:hAnsi="宋体" w:eastAsia="宋体" w:cs="宋体"/>
          <w:sz w:val="24"/>
          <w:szCs w:val="24"/>
        </w:rPr>
      </w:pPr>
    </w:p>
    <w:p>
      <w:pPr>
        <w:pStyle w:val="28"/>
        <w:pageBreakBefore/>
        <w:ind w:firstLine="0"/>
        <w:jc w:val="center"/>
        <w:rPr>
          <w:rFonts w:ascii="宋体" w:hAnsi="宋体" w:cs="宋体"/>
          <w:b/>
        </w:rPr>
      </w:pPr>
      <w:bookmarkStart w:id="179" w:name="_Toc517190896"/>
      <w:r>
        <w:rPr>
          <w:rFonts w:hint="eastAsia" w:ascii="宋体" w:hAnsi="宋体" w:cs="宋体"/>
          <w:b/>
        </w:rPr>
        <w:t>开标一览表</w:t>
      </w:r>
      <w:bookmarkEnd w:id="179"/>
    </w:p>
    <w:p>
      <w:pPr>
        <w:ind w:firstLine="480"/>
        <w:rPr>
          <w:rFonts w:ascii="宋体" w:hAnsi="宋体" w:eastAsia="宋体" w:cs="宋体"/>
          <w:sz w:val="24"/>
          <w:szCs w:val="24"/>
        </w:rPr>
      </w:pPr>
      <w:r>
        <w:rPr>
          <w:rFonts w:hint="eastAsia" w:ascii="宋体" w:hAnsi="宋体" w:eastAsia="宋体" w:cs="宋体"/>
          <w:sz w:val="24"/>
          <w:szCs w:val="24"/>
        </w:rPr>
        <w:t>项目名称：</w:t>
      </w:r>
    </w:p>
    <w:p>
      <w:pPr>
        <w:ind w:firstLine="480"/>
        <w:rPr>
          <w:rFonts w:ascii="宋体" w:hAnsi="宋体" w:eastAsia="宋体" w:cs="宋体"/>
          <w:sz w:val="24"/>
          <w:szCs w:val="24"/>
        </w:rPr>
      </w:pPr>
      <w:r>
        <w:rPr>
          <w:rFonts w:hint="eastAsia" w:ascii="宋体" w:hAnsi="宋体" w:eastAsia="宋体" w:cs="宋体"/>
          <w:sz w:val="24"/>
          <w:szCs w:val="24"/>
        </w:rPr>
        <w:t>项目编号：                             分包号：</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9"/>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 xml:space="preserve">    项目名称</w:t>
            </w:r>
          </w:p>
        </w:tc>
        <w:tc>
          <w:tcPr>
            <w:tcW w:w="5883"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投标总报价</w:t>
            </w:r>
          </w:p>
        </w:tc>
        <w:tc>
          <w:tcPr>
            <w:tcW w:w="5883" w:type="dxa"/>
            <w:vAlign w:val="center"/>
          </w:tcPr>
          <w:p>
            <w:pPr>
              <w:pStyle w:val="9"/>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大写：人民币</w:t>
            </w:r>
          </w:p>
          <w:p>
            <w:pPr>
              <w:pStyle w:val="28"/>
              <w:spacing w:before="0" w:after="0" w:line="500" w:lineRule="exact"/>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9"/>
              <w:adjustRightInd w:val="0"/>
              <w:snapToGrid w:val="0"/>
              <w:spacing w:line="300" w:lineRule="auto"/>
              <w:ind w:firstLine="240" w:firstLineChars="100"/>
              <w:jc w:val="center"/>
              <w:rPr>
                <w:rFonts w:ascii="宋体" w:hAnsi="宋体" w:eastAsia="宋体" w:cs="宋体"/>
                <w:sz w:val="24"/>
                <w:szCs w:val="24"/>
              </w:rPr>
            </w:pPr>
            <w:r>
              <w:rPr>
                <w:rFonts w:hint="eastAsia" w:ascii="宋体" w:hAnsi="宋体" w:eastAsia="宋体" w:cs="宋体"/>
                <w:sz w:val="24"/>
                <w:szCs w:val="24"/>
              </w:rPr>
              <w:t>货物品牌及型号</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质保期限</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其他优惠承诺</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bl>
    <w:p>
      <w:pPr>
        <w:ind w:firstLine="480"/>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ind w:firstLine="360" w:firstLineChars="150"/>
        <w:rPr>
          <w:rFonts w:ascii="宋体" w:hAnsi="宋体" w:eastAsia="宋体" w:cs="宋体"/>
          <w:sz w:val="24"/>
          <w:szCs w:val="24"/>
        </w:rPr>
      </w:pPr>
      <w:r>
        <w:rPr>
          <w:rFonts w:hint="eastAsia" w:ascii="宋体" w:hAnsi="宋体" w:eastAsia="宋体" w:cs="宋体"/>
          <w:sz w:val="24"/>
          <w:szCs w:val="24"/>
        </w:rPr>
        <w:t>投标单位名称（加盖公章）：</w:t>
      </w:r>
    </w:p>
    <w:p>
      <w:pPr>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ind w:firstLine="480"/>
        <w:rPr>
          <w:rFonts w:ascii="宋体" w:hAnsi="宋体" w:eastAsia="宋体" w:cs="宋体"/>
          <w:sz w:val="24"/>
          <w:szCs w:val="24"/>
        </w:rPr>
      </w:pPr>
      <w:r>
        <w:rPr>
          <w:rFonts w:hint="eastAsia" w:ascii="宋体" w:hAnsi="宋体" w:eastAsia="宋体" w:cs="宋体"/>
          <w:sz w:val="24"/>
          <w:szCs w:val="24"/>
        </w:rPr>
        <w:t>填写说明：</w:t>
      </w:r>
    </w:p>
    <w:p>
      <w:pPr>
        <w:spacing w:line="500" w:lineRule="exact"/>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i/>
          <w:sz w:val="24"/>
          <w:szCs w:val="24"/>
          <w:u w:val="single"/>
        </w:rPr>
        <w:t>开标一览表必须单独密封在信封中，在投标截止时间前与投标文件分别递交，否则视为无效投标。</w:t>
      </w:r>
    </w:p>
    <w:p>
      <w:pPr>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Cs/>
          <w:i/>
          <w:iCs/>
          <w:sz w:val="24"/>
          <w:szCs w:val="24"/>
          <w:u w:val="single"/>
        </w:rPr>
        <w:t>开标一览表必须加盖投标单位公章（复印件无效）</w:t>
      </w:r>
      <w:r>
        <w:rPr>
          <w:rFonts w:hint="eastAsia" w:ascii="宋体" w:hAnsi="宋体" w:eastAsia="宋体" w:cs="宋体"/>
          <w:i/>
          <w:sz w:val="24"/>
          <w:szCs w:val="24"/>
        </w:rPr>
        <w:t>。</w:t>
      </w:r>
    </w:p>
    <w:p>
      <w:pPr>
        <w:rPr>
          <w:rFonts w:ascii="宋体" w:hAnsi="宋体" w:eastAsia="宋体" w:cs="宋体"/>
          <w:sz w:val="24"/>
          <w:szCs w:val="24"/>
        </w:rPr>
      </w:pPr>
      <w:r>
        <w:rPr>
          <w:rFonts w:hint="eastAsia" w:ascii="宋体" w:hAnsi="宋体" w:eastAsia="宋体" w:cs="宋体"/>
          <w:sz w:val="24"/>
          <w:szCs w:val="24"/>
        </w:rPr>
        <w:t xml:space="preserve">    3.如有分包，投标人投任何一个包的标的，都需单独填写开标一览表。</w:t>
      </w:r>
    </w:p>
    <w:p>
      <w:pPr>
        <w:spacing w:line="460" w:lineRule="exact"/>
        <w:rPr>
          <w:rFonts w:ascii="宋体" w:hAnsi="宋体" w:eastAsia="宋体" w:cs="宋体"/>
          <w:bCs/>
          <w:sz w:val="24"/>
          <w:szCs w:val="24"/>
        </w:rPr>
      </w:pPr>
    </w:p>
    <w:p>
      <w:pPr>
        <w:pStyle w:val="2"/>
        <w:ind w:left="1320"/>
      </w:pPr>
    </w:p>
    <w:p>
      <w:pPr>
        <w:ind w:firstLine="723" w:firstLineChars="300"/>
        <w:rPr>
          <w:rFonts w:ascii="宋体" w:hAnsi="宋体" w:eastAsia="宋体" w:cs="宋体"/>
          <w:b/>
          <w:bCs/>
          <w:sz w:val="24"/>
          <w:szCs w:val="24"/>
        </w:rPr>
      </w:pPr>
    </w:p>
    <w:p>
      <w:pPr>
        <w:spacing w:line="440" w:lineRule="exact"/>
        <w:rPr>
          <w:rFonts w:ascii="宋体" w:hAnsi="宋体" w:eastAsia="宋体" w:cs="宋体"/>
          <w:sz w:val="24"/>
          <w:szCs w:val="24"/>
        </w:rPr>
      </w:pPr>
    </w:p>
    <w:p>
      <w:pPr>
        <w:pStyle w:val="28"/>
        <w:ind w:firstLine="0"/>
        <w:jc w:val="center"/>
        <w:rPr>
          <w:rFonts w:ascii="宋体" w:hAnsi="宋体" w:cs="宋体"/>
          <w:b/>
        </w:rPr>
      </w:pPr>
      <w:r>
        <w:rPr>
          <w:rFonts w:hint="eastAsia" w:ascii="宋体" w:hAnsi="宋体" w:cs="宋体"/>
          <w:b/>
        </w:rPr>
        <w:t>投标产品配置及分项报价表</w:t>
      </w:r>
    </w:p>
    <w:p>
      <w:pPr>
        <w:rPr>
          <w:rFonts w:ascii="宋体" w:hAnsi="宋体" w:eastAsia="宋体" w:cs="宋体"/>
          <w:sz w:val="24"/>
          <w:szCs w:val="24"/>
        </w:rPr>
      </w:pPr>
    </w:p>
    <w:tbl>
      <w:tblPr>
        <w:tblStyle w:val="20"/>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jc w:val="center"/>
        <w:rPr>
          <w:rFonts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rPr>
        <w:t>供货一览表</w:t>
      </w:r>
    </w:p>
    <w:p>
      <w:pPr>
        <w:rPr>
          <w:rFonts w:ascii="宋体" w:hAnsi="宋体" w:eastAsia="宋体" w:cs="宋体"/>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w:t>
            </w:r>
          </w:p>
        </w:tc>
        <w:tc>
          <w:tcPr>
            <w:tcW w:w="1934" w:type="dxa"/>
            <w:vAlign w:val="center"/>
          </w:tcPr>
          <w:p>
            <w:pPr>
              <w:jc w:val="center"/>
              <w:rPr>
                <w:rFonts w:ascii="宋体" w:hAnsi="宋体" w:eastAsia="宋体" w:cs="宋体"/>
                <w:sz w:val="24"/>
                <w:szCs w:val="24"/>
              </w:rPr>
            </w:pPr>
            <w:r>
              <w:rPr>
                <w:rFonts w:hint="eastAsia" w:ascii="宋体" w:hAnsi="宋体" w:eastAsia="宋体" w:cs="宋体"/>
                <w:sz w:val="24"/>
                <w:szCs w:val="24"/>
              </w:rPr>
              <w:t>型    号</w:t>
            </w:r>
          </w:p>
        </w:tc>
        <w:tc>
          <w:tcPr>
            <w:tcW w:w="1575" w:type="dxa"/>
            <w:vAlign w:val="center"/>
          </w:tcPr>
          <w:p>
            <w:pPr>
              <w:jc w:val="center"/>
              <w:rPr>
                <w:rFonts w:ascii="宋体" w:hAnsi="宋体" w:eastAsia="宋体" w:cs="宋体"/>
                <w:sz w:val="24"/>
                <w:szCs w:val="24"/>
              </w:rPr>
            </w:pPr>
            <w:r>
              <w:rPr>
                <w:rFonts w:hint="eastAsia" w:ascii="宋体" w:hAnsi="宋体" w:eastAsia="宋体" w:cs="宋体"/>
                <w:sz w:val="24"/>
                <w:szCs w:val="24"/>
              </w:rPr>
              <w:t>产地</w:t>
            </w:r>
          </w:p>
        </w:tc>
        <w:tc>
          <w:tcPr>
            <w:tcW w:w="1680"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365" w:type="dxa"/>
            <w:vAlign w:val="center"/>
          </w:tcPr>
          <w:p>
            <w:pPr>
              <w:jc w:val="center"/>
              <w:rPr>
                <w:rFonts w:ascii="宋体" w:hAnsi="宋体" w:eastAsia="宋体" w:cs="宋体"/>
                <w:sz w:val="24"/>
                <w:szCs w:val="24"/>
              </w:rPr>
            </w:pPr>
            <w:r>
              <w:rPr>
                <w:rFonts w:hint="eastAsia" w:ascii="宋体" w:hAnsi="宋体" w:eastAsia="宋体" w:cs="宋体"/>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bookmarkEnd w:id="171"/>
    <w:bookmarkEnd w:id="172"/>
    <w:bookmarkEnd w:id="173"/>
    <w:p>
      <w:pPr>
        <w:jc w:val="center"/>
        <w:rPr>
          <w:rFonts w:ascii="宋体" w:hAnsi="宋体" w:eastAsia="宋体" w:cs="宋体"/>
          <w:b/>
          <w:sz w:val="24"/>
          <w:szCs w:val="24"/>
        </w:rPr>
      </w:pPr>
      <w:bookmarkStart w:id="180" w:name="_Toc120614284"/>
    </w:p>
    <w:p>
      <w:pPr>
        <w:jc w:val="center"/>
        <w:rPr>
          <w:rFonts w:ascii="宋体" w:hAnsi="宋体" w:eastAsia="宋体" w:cs="宋体"/>
          <w:b/>
          <w:sz w:val="24"/>
          <w:szCs w:val="24"/>
        </w:rPr>
      </w:pPr>
      <w:r>
        <w:rPr>
          <w:rFonts w:hint="eastAsia" w:ascii="宋体" w:hAnsi="宋体" w:eastAsia="宋体" w:cs="宋体"/>
          <w:b/>
          <w:sz w:val="24"/>
          <w:szCs w:val="24"/>
        </w:rPr>
        <w:t>技术参数响应及偏离表</w:t>
      </w:r>
    </w:p>
    <w:p>
      <w:pPr>
        <w:rPr>
          <w:rFonts w:ascii="宋体" w:hAnsi="宋体" w:eastAsia="宋体" w:cs="宋体"/>
          <w:sz w:val="24"/>
          <w:szCs w:val="24"/>
        </w:rPr>
      </w:pPr>
      <w:r>
        <w:rPr>
          <w:rFonts w:hint="eastAsia" w:ascii="宋体" w:hAnsi="宋体" w:eastAsia="宋体" w:cs="宋体"/>
          <w:sz w:val="24"/>
          <w:szCs w:val="24"/>
        </w:rPr>
        <w:t xml:space="preserve">    </w:t>
      </w:r>
    </w:p>
    <w:tbl>
      <w:tblPr>
        <w:tblStyle w:val="20"/>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2852"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5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65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117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商务条款偏差表</w:t>
      </w:r>
    </w:p>
    <w:p>
      <w:pPr>
        <w:spacing w:line="360" w:lineRule="auto"/>
        <w:rPr>
          <w:rFonts w:ascii="宋体" w:hAnsi="宋体" w:eastAsia="宋体" w:cs="宋体"/>
          <w:sz w:val="24"/>
          <w:szCs w:val="24"/>
        </w:rPr>
      </w:pPr>
      <w:r>
        <w:rPr>
          <w:rFonts w:hint="eastAsia" w:ascii="宋体" w:hAnsi="宋体" w:eastAsia="宋体" w:cs="宋体"/>
          <w:sz w:val="24"/>
          <w:szCs w:val="24"/>
        </w:rPr>
        <w:t>（投标文件与招标文件的偏差）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jc w:val="center"/>
              <w:rPr>
                <w:rFonts w:ascii="宋体" w:hAnsi="宋体" w:eastAsia="宋体" w:cs="宋体"/>
                <w:sz w:val="24"/>
                <w:szCs w:val="24"/>
              </w:rPr>
            </w:pPr>
            <w:bookmarkStart w:id="181" w:name="OLE_LINK9"/>
            <w:bookmarkStart w:id="182" w:name="OLE_LINK10"/>
            <w:r>
              <w:rPr>
                <w:rFonts w:hint="eastAsia" w:ascii="宋体" w:hAnsi="宋体" w:eastAsia="宋体" w:cs="宋体"/>
                <w:sz w:val="24"/>
                <w:szCs w:val="24"/>
              </w:rPr>
              <w:t>序号</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4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99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营业执照</w:t>
            </w:r>
          </w:p>
        </w:tc>
        <w:tc>
          <w:tcPr>
            <w:tcW w:w="2409" w:type="dxa"/>
            <w:vAlign w:val="center"/>
          </w:tcPr>
          <w:p>
            <w:pPr>
              <w:jc w:val="center"/>
              <w:rPr>
                <w:rFonts w:ascii="宋体" w:hAnsi="宋体" w:eastAsia="宋体" w:cs="宋体"/>
                <w:sz w:val="24"/>
                <w:szCs w:val="24"/>
              </w:rPr>
            </w:pPr>
          </w:p>
        </w:tc>
        <w:tc>
          <w:tcPr>
            <w:tcW w:w="1701" w:type="dxa"/>
            <w:vAlign w:val="center"/>
          </w:tcPr>
          <w:p>
            <w:pPr>
              <w:jc w:val="center"/>
              <w:rPr>
                <w:rFonts w:ascii="宋体" w:hAnsi="宋体" w:eastAsia="宋体" w:cs="宋体"/>
                <w:sz w:val="24"/>
                <w:szCs w:val="24"/>
              </w:rPr>
            </w:pPr>
          </w:p>
        </w:tc>
        <w:tc>
          <w:tcPr>
            <w:tcW w:w="99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法定代表人身份证明</w:t>
            </w:r>
          </w:p>
        </w:tc>
        <w:tc>
          <w:tcPr>
            <w:tcW w:w="2409" w:type="dxa"/>
            <w:vAlign w:val="center"/>
          </w:tcPr>
          <w:p>
            <w:pPr>
              <w:jc w:val="center"/>
              <w:rPr>
                <w:rFonts w:ascii="宋体" w:hAnsi="宋体" w:eastAsia="宋体" w:cs="宋体"/>
                <w:sz w:val="24"/>
                <w:szCs w:val="24"/>
              </w:rPr>
            </w:pPr>
          </w:p>
        </w:tc>
        <w:tc>
          <w:tcPr>
            <w:tcW w:w="1701" w:type="dxa"/>
            <w:vAlign w:val="center"/>
          </w:tcPr>
          <w:p>
            <w:pPr>
              <w:jc w:val="center"/>
              <w:rPr>
                <w:rFonts w:ascii="宋体" w:hAnsi="宋体" w:eastAsia="宋体" w:cs="宋体"/>
                <w:sz w:val="24"/>
                <w:szCs w:val="24"/>
              </w:rPr>
            </w:pPr>
          </w:p>
        </w:tc>
        <w:tc>
          <w:tcPr>
            <w:tcW w:w="99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授权代表身份证明</w:t>
            </w:r>
          </w:p>
        </w:tc>
        <w:tc>
          <w:tcPr>
            <w:tcW w:w="2409" w:type="dxa"/>
            <w:vAlign w:val="center"/>
          </w:tcPr>
          <w:p>
            <w:pPr>
              <w:jc w:val="center"/>
              <w:rPr>
                <w:rFonts w:ascii="宋体" w:hAnsi="宋体" w:eastAsia="宋体" w:cs="宋体"/>
                <w:sz w:val="24"/>
                <w:szCs w:val="24"/>
              </w:rPr>
            </w:pPr>
          </w:p>
        </w:tc>
        <w:tc>
          <w:tcPr>
            <w:tcW w:w="1701" w:type="dxa"/>
            <w:vAlign w:val="center"/>
          </w:tcPr>
          <w:p>
            <w:pPr>
              <w:jc w:val="center"/>
              <w:rPr>
                <w:rFonts w:ascii="宋体" w:hAnsi="宋体" w:eastAsia="宋体" w:cs="宋体"/>
                <w:sz w:val="24"/>
                <w:szCs w:val="24"/>
              </w:rPr>
            </w:pPr>
          </w:p>
        </w:tc>
        <w:tc>
          <w:tcPr>
            <w:tcW w:w="99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法人授权书</w:t>
            </w:r>
          </w:p>
        </w:tc>
        <w:tc>
          <w:tcPr>
            <w:tcW w:w="2409" w:type="dxa"/>
            <w:vAlign w:val="center"/>
          </w:tcPr>
          <w:p>
            <w:pPr>
              <w:jc w:val="center"/>
              <w:rPr>
                <w:rFonts w:ascii="宋体" w:hAnsi="宋体" w:eastAsia="宋体" w:cs="宋体"/>
                <w:sz w:val="24"/>
                <w:szCs w:val="24"/>
              </w:rPr>
            </w:pPr>
          </w:p>
        </w:tc>
        <w:tc>
          <w:tcPr>
            <w:tcW w:w="1701" w:type="dxa"/>
            <w:vAlign w:val="center"/>
          </w:tcPr>
          <w:p>
            <w:pPr>
              <w:jc w:val="center"/>
              <w:rPr>
                <w:rFonts w:ascii="宋体" w:hAnsi="宋体" w:eastAsia="宋体" w:cs="宋体"/>
                <w:sz w:val="24"/>
                <w:szCs w:val="24"/>
              </w:rPr>
            </w:pPr>
          </w:p>
        </w:tc>
        <w:tc>
          <w:tcPr>
            <w:tcW w:w="99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eastAsia="宋体" w:cs="宋体"/>
                <w:sz w:val="24"/>
                <w:szCs w:val="24"/>
              </w:rPr>
            </w:pPr>
            <w:r>
              <w:rPr>
                <w:rFonts w:hint="eastAsia" w:ascii="宋体" w:hAnsi="宋体" w:eastAsia="宋体" w:cs="宋体"/>
                <w:sz w:val="24"/>
                <w:szCs w:val="24"/>
              </w:rPr>
              <w:t>5</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财务报表等</w:t>
            </w:r>
          </w:p>
        </w:tc>
        <w:tc>
          <w:tcPr>
            <w:tcW w:w="2409" w:type="dxa"/>
            <w:vAlign w:val="center"/>
          </w:tcPr>
          <w:p>
            <w:pPr>
              <w:jc w:val="center"/>
              <w:rPr>
                <w:rFonts w:ascii="宋体" w:hAnsi="宋体" w:eastAsia="宋体" w:cs="宋体"/>
                <w:sz w:val="24"/>
                <w:szCs w:val="24"/>
              </w:rPr>
            </w:pPr>
          </w:p>
        </w:tc>
        <w:tc>
          <w:tcPr>
            <w:tcW w:w="1701" w:type="dxa"/>
            <w:vAlign w:val="center"/>
          </w:tcPr>
          <w:p>
            <w:pPr>
              <w:jc w:val="center"/>
              <w:rPr>
                <w:rFonts w:ascii="宋体" w:hAnsi="宋体" w:eastAsia="宋体" w:cs="宋体"/>
                <w:sz w:val="24"/>
                <w:szCs w:val="24"/>
              </w:rPr>
            </w:pPr>
          </w:p>
        </w:tc>
        <w:tc>
          <w:tcPr>
            <w:tcW w:w="99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675" w:type="dxa"/>
            <w:vAlign w:val="center"/>
          </w:tcPr>
          <w:p>
            <w:pPr>
              <w:jc w:val="center"/>
              <w:rPr>
                <w:rFonts w:ascii="宋体" w:hAnsi="宋体" w:eastAsia="宋体" w:cs="宋体"/>
                <w:sz w:val="24"/>
                <w:szCs w:val="24"/>
              </w:rPr>
            </w:pPr>
            <w:r>
              <w:rPr>
                <w:rFonts w:hint="eastAsia" w:ascii="宋体" w:hAnsi="宋体" w:eastAsia="宋体" w:cs="宋体"/>
                <w:sz w:val="24"/>
                <w:szCs w:val="24"/>
              </w:rPr>
              <w:t>6</w:t>
            </w:r>
          </w:p>
          <w:p>
            <w:pPr>
              <w:jc w:val="center"/>
              <w:rPr>
                <w:rFonts w:ascii="宋体" w:hAnsi="宋体" w:eastAsia="宋体" w:cs="宋体"/>
                <w:sz w:val="24"/>
                <w:szCs w:val="24"/>
              </w:rPr>
            </w:pP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缴税及社保证明</w:t>
            </w:r>
          </w:p>
        </w:tc>
        <w:tc>
          <w:tcPr>
            <w:tcW w:w="2409" w:type="dxa"/>
            <w:vAlign w:val="center"/>
          </w:tcPr>
          <w:p>
            <w:pPr>
              <w:jc w:val="center"/>
              <w:rPr>
                <w:rFonts w:ascii="宋体" w:hAnsi="宋体" w:eastAsia="宋体" w:cs="宋体"/>
                <w:sz w:val="24"/>
                <w:szCs w:val="24"/>
              </w:rPr>
            </w:pPr>
          </w:p>
        </w:tc>
        <w:tc>
          <w:tcPr>
            <w:tcW w:w="1701" w:type="dxa"/>
            <w:vAlign w:val="center"/>
          </w:tcPr>
          <w:p>
            <w:pPr>
              <w:jc w:val="center"/>
              <w:rPr>
                <w:rFonts w:ascii="宋体" w:hAnsi="宋体" w:eastAsia="宋体" w:cs="宋体"/>
                <w:sz w:val="24"/>
                <w:szCs w:val="24"/>
              </w:rPr>
            </w:pPr>
          </w:p>
        </w:tc>
        <w:tc>
          <w:tcPr>
            <w:tcW w:w="99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vAlign w:val="center"/>
          </w:tcPr>
          <w:p>
            <w:pPr>
              <w:jc w:val="center"/>
              <w:rPr>
                <w:rFonts w:ascii="宋体" w:hAnsi="宋体" w:eastAsia="宋体" w:cs="宋体"/>
                <w:sz w:val="24"/>
                <w:szCs w:val="24"/>
              </w:rPr>
            </w:pPr>
            <w:r>
              <w:rPr>
                <w:rFonts w:hint="eastAsia" w:ascii="宋体" w:hAnsi="宋体" w:eastAsia="宋体" w:cs="宋体"/>
                <w:sz w:val="24"/>
                <w:szCs w:val="24"/>
              </w:rPr>
              <w:t>7</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无重大违法说明</w:t>
            </w:r>
          </w:p>
        </w:tc>
        <w:tc>
          <w:tcPr>
            <w:tcW w:w="2409" w:type="dxa"/>
            <w:vAlign w:val="center"/>
          </w:tcPr>
          <w:p>
            <w:pPr>
              <w:jc w:val="center"/>
              <w:rPr>
                <w:rFonts w:ascii="宋体" w:hAnsi="宋体" w:eastAsia="宋体" w:cs="宋体"/>
                <w:sz w:val="24"/>
                <w:szCs w:val="24"/>
              </w:rPr>
            </w:pPr>
          </w:p>
        </w:tc>
        <w:tc>
          <w:tcPr>
            <w:tcW w:w="1701" w:type="dxa"/>
            <w:vAlign w:val="center"/>
          </w:tcPr>
          <w:p>
            <w:pPr>
              <w:jc w:val="center"/>
              <w:rPr>
                <w:rFonts w:ascii="宋体" w:hAnsi="宋体" w:eastAsia="宋体" w:cs="宋体"/>
                <w:sz w:val="24"/>
                <w:szCs w:val="24"/>
              </w:rPr>
            </w:pPr>
          </w:p>
        </w:tc>
        <w:tc>
          <w:tcPr>
            <w:tcW w:w="99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vAlign w:val="center"/>
          </w:tcPr>
          <w:p>
            <w:pPr>
              <w:jc w:val="center"/>
              <w:rPr>
                <w:rFonts w:ascii="宋体" w:hAnsi="宋体" w:eastAsia="宋体" w:cs="宋体"/>
                <w:sz w:val="24"/>
                <w:szCs w:val="24"/>
              </w:rPr>
            </w:pPr>
            <w:r>
              <w:rPr>
                <w:rFonts w:hint="eastAsia" w:ascii="宋体" w:hAnsi="宋体" w:eastAsia="宋体" w:cs="宋体"/>
                <w:sz w:val="24"/>
                <w:szCs w:val="24"/>
              </w:rPr>
              <w:t>8</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“信用中国”查询证明</w:t>
            </w:r>
          </w:p>
        </w:tc>
        <w:tc>
          <w:tcPr>
            <w:tcW w:w="2409" w:type="dxa"/>
            <w:vAlign w:val="center"/>
          </w:tcPr>
          <w:p>
            <w:pPr>
              <w:jc w:val="center"/>
              <w:rPr>
                <w:rFonts w:ascii="宋体" w:hAnsi="宋体" w:eastAsia="宋体" w:cs="宋体"/>
                <w:sz w:val="24"/>
                <w:szCs w:val="24"/>
              </w:rPr>
            </w:pPr>
          </w:p>
        </w:tc>
        <w:tc>
          <w:tcPr>
            <w:tcW w:w="1701" w:type="dxa"/>
            <w:vAlign w:val="center"/>
          </w:tcPr>
          <w:p>
            <w:pPr>
              <w:jc w:val="center"/>
              <w:rPr>
                <w:rFonts w:ascii="宋体" w:hAnsi="宋体" w:eastAsia="宋体" w:cs="宋体"/>
                <w:sz w:val="24"/>
                <w:szCs w:val="24"/>
              </w:rPr>
            </w:pPr>
          </w:p>
        </w:tc>
        <w:tc>
          <w:tcPr>
            <w:tcW w:w="99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eastAsia="宋体" w:cs="宋体"/>
                <w:sz w:val="24"/>
                <w:szCs w:val="24"/>
              </w:rPr>
            </w:pPr>
            <w:r>
              <w:rPr>
                <w:rFonts w:hint="eastAsia" w:ascii="宋体" w:hAnsi="宋体" w:eastAsia="宋体" w:cs="宋体"/>
                <w:sz w:val="24"/>
                <w:szCs w:val="24"/>
              </w:rPr>
              <w:t>9</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供货期限要求</w:t>
            </w:r>
          </w:p>
        </w:tc>
        <w:tc>
          <w:tcPr>
            <w:tcW w:w="2409" w:type="dxa"/>
            <w:vAlign w:val="center"/>
          </w:tcPr>
          <w:p>
            <w:pPr>
              <w:jc w:val="center"/>
              <w:rPr>
                <w:rFonts w:ascii="宋体" w:hAnsi="宋体" w:eastAsia="宋体" w:cs="宋体"/>
                <w:sz w:val="24"/>
                <w:szCs w:val="24"/>
              </w:rPr>
            </w:pPr>
          </w:p>
        </w:tc>
        <w:tc>
          <w:tcPr>
            <w:tcW w:w="1701" w:type="dxa"/>
            <w:vAlign w:val="center"/>
          </w:tcPr>
          <w:p>
            <w:pPr>
              <w:jc w:val="center"/>
              <w:rPr>
                <w:rFonts w:ascii="宋体" w:hAnsi="宋体" w:eastAsia="宋体" w:cs="宋体"/>
                <w:sz w:val="24"/>
                <w:szCs w:val="24"/>
              </w:rPr>
            </w:pPr>
          </w:p>
        </w:tc>
        <w:tc>
          <w:tcPr>
            <w:tcW w:w="99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eastAsia="宋体" w:cs="宋体"/>
                <w:sz w:val="24"/>
                <w:szCs w:val="24"/>
              </w:rPr>
            </w:pPr>
            <w:r>
              <w:rPr>
                <w:rFonts w:hint="eastAsia" w:ascii="宋体" w:hAnsi="宋体" w:eastAsia="宋体" w:cs="宋体"/>
                <w:sz w:val="24"/>
                <w:szCs w:val="24"/>
              </w:rPr>
              <w:t>10</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支付方式要求</w:t>
            </w:r>
          </w:p>
        </w:tc>
        <w:tc>
          <w:tcPr>
            <w:tcW w:w="2409" w:type="dxa"/>
            <w:vAlign w:val="center"/>
          </w:tcPr>
          <w:p>
            <w:pPr>
              <w:jc w:val="center"/>
              <w:rPr>
                <w:rFonts w:ascii="宋体" w:hAnsi="宋体" w:eastAsia="宋体" w:cs="宋体"/>
                <w:sz w:val="24"/>
                <w:szCs w:val="24"/>
              </w:rPr>
            </w:pPr>
          </w:p>
        </w:tc>
        <w:tc>
          <w:tcPr>
            <w:tcW w:w="1701" w:type="dxa"/>
            <w:vAlign w:val="center"/>
          </w:tcPr>
          <w:p>
            <w:pPr>
              <w:jc w:val="center"/>
              <w:rPr>
                <w:rFonts w:ascii="宋体" w:hAnsi="宋体" w:eastAsia="宋体" w:cs="宋体"/>
                <w:sz w:val="24"/>
                <w:szCs w:val="24"/>
              </w:rPr>
            </w:pPr>
          </w:p>
        </w:tc>
        <w:tc>
          <w:tcPr>
            <w:tcW w:w="993" w:type="dxa"/>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vAlign w:val="center"/>
          </w:tcPr>
          <w:p>
            <w:pPr>
              <w:jc w:val="center"/>
              <w:rPr>
                <w:rFonts w:ascii="宋体" w:hAnsi="宋体" w:eastAsia="宋体" w:cs="宋体"/>
                <w:sz w:val="24"/>
                <w:szCs w:val="24"/>
              </w:rPr>
            </w:pPr>
            <w:r>
              <w:rPr>
                <w:rFonts w:hint="eastAsia" w:ascii="宋体" w:hAnsi="宋体" w:eastAsia="宋体" w:cs="宋体"/>
                <w:sz w:val="24"/>
                <w:szCs w:val="24"/>
              </w:rPr>
              <w:t>11</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售后服务及质保要求</w:t>
            </w:r>
          </w:p>
        </w:tc>
        <w:tc>
          <w:tcPr>
            <w:tcW w:w="2409" w:type="dxa"/>
            <w:vAlign w:val="center"/>
          </w:tcPr>
          <w:p>
            <w:pPr>
              <w:jc w:val="center"/>
              <w:rPr>
                <w:rFonts w:ascii="宋体" w:hAnsi="宋体" w:eastAsia="宋体" w:cs="宋体"/>
                <w:sz w:val="24"/>
                <w:szCs w:val="24"/>
              </w:rPr>
            </w:pPr>
          </w:p>
        </w:tc>
        <w:tc>
          <w:tcPr>
            <w:tcW w:w="1701" w:type="dxa"/>
            <w:vAlign w:val="center"/>
          </w:tcPr>
          <w:p>
            <w:pPr>
              <w:jc w:val="center"/>
              <w:rPr>
                <w:rFonts w:ascii="宋体" w:hAnsi="宋体" w:eastAsia="宋体" w:cs="宋体"/>
                <w:sz w:val="24"/>
                <w:szCs w:val="24"/>
              </w:rPr>
            </w:pPr>
          </w:p>
        </w:tc>
        <w:tc>
          <w:tcPr>
            <w:tcW w:w="993" w:type="dxa"/>
            <w:vAlign w:val="center"/>
          </w:tcPr>
          <w:p>
            <w:pPr>
              <w:jc w:val="center"/>
              <w:rPr>
                <w:rFonts w:ascii="宋体" w:hAnsi="宋体" w:eastAsia="宋体" w:cs="宋体"/>
                <w:sz w:val="24"/>
                <w:szCs w:val="24"/>
              </w:rPr>
            </w:pPr>
          </w:p>
        </w:tc>
      </w:tr>
      <w:bookmarkEnd w:id="181"/>
      <w:bookmarkEnd w:id="182"/>
    </w:tbl>
    <w:p>
      <w:pPr>
        <w:spacing w:line="360" w:lineRule="auto"/>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rPr>
          <w:rFonts w:ascii="宋体" w:hAnsi="宋体" w:eastAsia="宋体" w:cs="宋体"/>
          <w:sz w:val="24"/>
          <w:szCs w:val="24"/>
        </w:rPr>
      </w:pPr>
      <w:r>
        <w:rPr>
          <w:rFonts w:hint="eastAsia" w:ascii="宋体" w:hAnsi="宋体" w:eastAsia="宋体" w:cs="宋体"/>
          <w:sz w:val="24"/>
          <w:szCs w:val="24"/>
        </w:rPr>
        <w:t>投标单位名称（加盖公章）：</w:t>
      </w:r>
    </w:p>
    <w:p>
      <w:pPr>
        <w:pStyle w:val="6"/>
      </w:pPr>
    </w:p>
    <w:p>
      <w:pPr>
        <w:pStyle w:val="6"/>
      </w:pPr>
    </w:p>
    <w:p>
      <w:pPr>
        <w:pStyle w:val="6"/>
      </w:pPr>
    </w:p>
    <w:p>
      <w:pPr>
        <w:pStyle w:val="6"/>
      </w:pPr>
    </w:p>
    <w:p>
      <w:pPr>
        <w:pStyle w:val="6"/>
      </w:pPr>
    </w:p>
    <w:p>
      <w:pPr>
        <w:pStyle w:val="6"/>
      </w:pPr>
    </w:p>
    <w:p>
      <w:pPr>
        <w:pStyle w:val="6"/>
      </w:pPr>
    </w:p>
    <w:p>
      <w:pPr>
        <w:pStyle w:val="6"/>
      </w:pPr>
    </w:p>
    <w:bookmarkEnd w:id="180"/>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 xml:space="preserve">第六章  </w:t>
      </w:r>
      <w:r>
        <w:rPr>
          <w:rFonts w:hint="eastAsia" w:ascii="宋体" w:hAnsi="宋体" w:eastAsia="宋体" w:cs="宋体"/>
          <w:b/>
          <w:sz w:val="32"/>
        </w:rPr>
        <w:t>拟签订的合同文本</w:t>
      </w:r>
    </w:p>
    <w:p>
      <w:pPr>
        <w:pStyle w:val="12"/>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pPr>
        <w:pStyle w:val="12"/>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pPr>
        <w:pStyle w:val="12"/>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pPr>
        <w:pStyle w:val="12"/>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0"/>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rPr>
                <w:rFonts w:ascii="宋体" w:hAnsi="宋体" w:eastAsia="宋体"/>
                <w:b/>
                <w:sz w:val="24"/>
                <w:szCs w:val="24"/>
              </w:rPr>
            </w:pPr>
            <w:r>
              <w:rPr>
                <w:rFonts w:hint="eastAsia" w:ascii="宋体" w:hAnsi="宋体" w:eastAsia="宋体"/>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pPr>
              <w:spacing w:line="330" w:lineRule="atLeast"/>
              <w:rPr>
                <w:rFonts w:ascii="宋体" w:hAnsi="宋体" w:eastAsia="宋体" w:cs="宋体"/>
                <w:color w:val="000000"/>
                <w:sz w:val="24"/>
                <w:szCs w:val="24"/>
              </w:rPr>
            </w:pPr>
          </w:p>
        </w:tc>
        <w:tc>
          <w:tcPr>
            <w:tcW w:w="682" w:type="dxa"/>
            <w:tcBorders>
              <w:top w:val="nil"/>
              <w:bottom w:val="single" w:color="auto" w:sz="4" w:space="0"/>
            </w:tcBorders>
            <w:vAlign w:val="center"/>
          </w:tcPr>
          <w:p>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rPr>
                <w:rFonts w:ascii="宋体" w:hAnsi="宋体" w:eastAsia="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pPr>
        <w:pStyle w:val="12"/>
        <w:spacing w:before="120" w:after="120" w:line="330" w:lineRule="atLeast"/>
        <w:ind w:firstLine="482" w:firstLineChars="200"/>
        <w:rPr>
          <w:rFonts w:hAnsi="宋体" w:eastAsia="宋体"/>
          <w:b/>
          <w:sz w:val="24"/>
          <w:szCs w:val="24"/>
        </w:rPr>
      </w:pPr>
      <w:r>
        <w:rPr>
          <w:rFonts w:hAnsi="宋体" w:eastAsia="宋体"/>
          <w:b/>
          <w:sz w:val="24"/>
          <w:szCs w:val="24"/>
        </w:rPr>
        <w:t>二、</w:t>
      </w:r>
      <w:r>
        <w:rPr>
          <w:rFonts w:hint="eastAsia" w:hAnsi="宋体" w:eastAsia="宋体"/>
          <w:b/>
          <w:sz w:val="24"/>
          <w:szCs w:val="24"/>
        </w:rPr>
        <w:t>结算方式</w:t>
      </w:r>
    </w:p>
    <w:p>
      <w:pPr>
        <w:pStyle w:val="12"/>
        <w:spacing w:before="120" w:after="120" w:line="330" w:lineRule="atLeast"/>
        <w:ind w:firstLine="480" w:firstLineChars="200"/>
        <w:rPr>
          <w:rFonts w:hAnsi="宋体" w:eastAsia="宋体"/>
          <w:sz w:val="24"/>
          <w:szCs w:val="28"/>
        </w:rPr>
      </w:pPr>
      <w:r>
        <w:rPr>
          <w:rFonts w:hAnsi="宋体" w:eastAsia="宋体"/>
          <w:sz w:val="24"/>
          <w:szCs w:val="28"/>
        </w:rPr>
        <w:t>2.1结算方式：</w:t>
      </w:r>
      <w:r>
        <w:rPr>
          <w:rFonts w:hint="eastAsia" w:hAnsi="宋体" w:eastAsia="宋体"/>
          <w:sz w:val="24"/>
          <w:szCs w:val="28"/>
        </w:rPr>
        <w:t>（请根据实际情况选择和修改）</w:t>
      </w:r>
    </w:p>
    <w:p>
      <w:pPr>
        <w:pStyle w:val="12"/>
        <w:spacing w:before="120" w:after="120" w:line="330" w:lineRule="atLeast"/>
        <w:ind w:firstLine="480" w:firstLineChars="200"/>
        <w:rPr>
          <w:rFonts w:hAnsi="宋体" w:eastAsia="宋体"/>
          <w:sz w:val="24"/>
          <w:szCs w:val="28"/>
        </w:rPr>
      </w:pPr>
      <w:r>
        <w:rPr>
          <w:rFonts w:hAnsi="宋体" w:eastAsia="宋体"/>
          <w:sz w:val="24"/>
          <w:szCs w:val="28"/>
        </w:rPr>
        <w:t>A</w:t>
      </w:r>
      <w:r>
        <w:rPr>
          <w:rFonts w:hint="eastAsia" w:hAnsi="宋体" w:eastAsia="宋体"/>
          <w:sz w:val="24"/>
          <w:szCs w:val="28"/>
        </w:rPr>
        <w:t>【</w:t>
      </w:r>
      <w:r>
        <w:rPr>
          <w:rFonts w:hAnsi="宋体" w:eastAsia="宋体"/>
          <w:sz w:val="24"/>
          <w:szCs w:val="28"/>
        </w:rPr>
        <w:t>国产设备</w:t>
      </w:r>
      <w:r>
        <w:rPr>
          <w:rFonts w:hint="eastAsia" w:hAnsi="宋体" w:eastAsia="宋体"/>
          <w:sz w:val="24"/>
          <w:szCs w:val="28"/>
        </w:rPr>
        <w:t>及进口设备（非免税）】：货物交付且安装、调试后，并通过验收后一周内甲方支付合同总金额的100%，付款之前需收到乙方开具的合法有效的相应金额发票。</w:t>
      </w:r>
    </w:p>
    <w:p>
      <w:pPr>
        <w:pStyle w:val="12"/>
        <w:spacing w:before="120" w:after="120" w:line="330" w:lineRule="atLeast"/>
        <w:ind w:firstLine="480" w:firstLineChars="200"/>
        <w:rPr>
          <w:rFonts w:hAnsi="宋体" w:eastAsia="宋体"/>
          <w:sz w:val="24"/>
          <w:szCs w:val="28"/>
        </w:rPr>
      </w:pPr>
      <w:r>
        <w:rPr>
          <w:rFonts w:hAnsi="宋体" w:eastAsia="宋体"/>
          <w:sz w:val="24"/>
          <w:szCs w:val="28"/>
        </w:rPr>
        <w:t>B</w:t>
      </w:r>
      <w:r>
        <w:rPr>
          <w:rFonts w:hint="eastAsia" w:hAnsi="宋体" w:eastAsia="宋体"/>
          <w:sz w:val="24"/>
          <w:szCs w:val="28"/>
        </w:rPr>
        <w:t>【进口设备（免税）】</w:t>
      </w:r>
      <w:r>
        <w:rPr>
          <w:rFonts w:hAnsi="宋体" w:eastAsia="宋体"/>
          <w:sz w:val="24"/>
          <w:szCs w:val="28"/>
        </w:rPr>
        <w:t>：根据委托代理进口协议，甲方与外贸代理公司</w:t>
      </w:r>
      <w:r>
        <w:rPr>
          <w:rFonts w:hint="eastAsia" w:hAnsi="宋体" w:eastAsia="宋体"/>
          <w:sz w:val="24"/>
          <w:szCs w:val="28"/>
        </w:rPr>
        <w:t>(</w:t>
      </w:r>
      <w:r>
        <w:rPr>
          <w:rFonts w:hint="eastAsia" w:hAnsi="宋体" w:eastAsia="宋体"/>
          <w:sz w:val="24"/>
          <w:szCs w:val="28"/>
          <w:u w:val="single"/>
        </w:rPr>
        <w:t xml:space="preserve">         </w:t>
      </w:r>
      <w:r>
        <w:rPr>
          <w:rFonts w:hint="eastAsia" w:hAnsi="宋体" w:eastAsia="宋体"/>
          <w:sz w:val="24"/>
          <w:szCs w:val="28"/>
        </w:rPr>
        <w:t>)</w:t>
      </w:r>
      <w:r>
        <w:rPr>
          <w:rFonts w:hAnsi="宋体" w:eastAsia="宋体"/>
          <w:sz w:val="24"/>
          <w:szCs w:val="28"/>
        </w:rPr>
        <w:t>进行结算。</w:t>
      </w:r>
    </w:p>
    <w:p>
      <w:pPr>
        <w:pStyle w:val="12"/>
        <w:spacing w:before="120" w:after="120" w:line="330" w:lineRule="atLeast"/>
        <w:ind w:firstLine="480" w:firstLineChars="200"/>
        <w:rPr>
          <w:rFonts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pPr>
        <w:pStyle w:val="12"/>
        <w:spacing w:before="120" w:after="120" w:line="330" w:lineRule="atLeast"/>
        <w:ind w:firstLine="480" w:firstLineChars="200"/>
        <w:rPr>
          <w:rFonts w:hAnsi="宋体" w:eastAsia="宋体"/>
          <w:sz w:val="24"/>
          <w:szCs w:val="24"/>
        </w:rPr>
      </w:pPr>
      <w:r>
        <w:rPr>
          <w:rFonts w:hAnsi="宋体" w:eastAsia="宋体"/>
          <w:sz w:val="24"/>
          <w:szCs w:val="24"/>
        </w:rPr>
        <w:t>2.3乙方</w:t>
      </w:r>
      <w:r>
        <w:rPr>
          <w:rFonts w:hint="eastAsia" w:hAnsi="宋体" w:eastAsia="宋体"/>
          <w:sz w:val="24"/>
          <w:szCs w:val="24"/>
        </w:rPr>
        <w:t>指定账户信息：</w:t>
      </w:r>
    </w:p>
    <w:p>
      <w:pPr>
        <w:pStyle w:val="12"/>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pPr>
        <w:pStyle w:val="12"/>
        <w:spacing w:before="120" w:after="120" w:line="330" w:lineRule="atLeast"/>
        <w:ind w:left="440" w:leftChars="200" w:firstLine="120" w:firstLineChars="50"/>
        <w:jc w:val="left"/>
        <w:rPr>
          <w:rFonts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pPr>
        <w:pStyle w:val="12"/>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三、交付方式、时间及地点</w:t>
      </w:r>
    </w:p>
    <w:p>
      <w:pPr>
        <w:pStyle w:val="12"/>
        <w:snapToGrid w:val="0"/>
        <w:spacing w:before="120" w:after="120" w:line="330" w:lineRule="atLeast"/>
        <w:ind w:firstLine="480" w:firstLineChars="200"/>
        <w:jc w:val="left"/>
        <w:rPr>
          <w:rFonts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pPr>
        <w:pStyle w:val="12"/>
        <w:spacing w:before="120" w:after="120" w:line="330" w:lineRule="atLeast"/>
        <w:ind w:firstLine="480" w:firstLineChars="200"/>
        <w:rPr>
          <w:rFonts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pPr>
        <w:pStyle w:val="12"/>
        <w:spacing w:before="120" w:after="120" w:line="330" w:lineRule="atLeast"/>
        <w:ind w:firstLine="480" w:firstLineChars="200"/>
        <w:rPr>
          <w:rFonts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四、货物包装、发运及运输</w:t>
      </w:r>
    </w:p>
    <w:p>
      <w:pPr>
        <w:pStyle w:val="12"/>
        <w:spacing w:before="120" w:after="120" w:line="330" w:lineRule="atLeast"/>
        <w:ind w:firstLine="480" w:firstLineChars="200"/>
        <w:rPr>
          <w:rFonts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pPr>
        <w:pStyle w:val="12"/>
        <w:spacing w:before="120" w:after="120" w:line="330" w:lineRule="atLeast"/>
        <w:ind w:firstLine="480" w:firstLineChars="200"/>
        <w:rPr>
          <w:rFonts w:hAnsi="宋体" w:eastAsia="宋体"/>
          <w:sz w:val="24"/>
          <w:szCs w:val="24"/>
        </w:rPr>
      </w:pPr>
      <w:r>
        <w:rPr>
          <w:rFonts w:hAnsi="宋体" w:eastAsia="宋体"/>
          <w:sz w:val="24"/>
          <w:szCs w:val="24"/>
        </w:rPr>
        <w:t>4.2 使用说明书、质量检验证明书、随配附件和工具以及清单一并附于货物内。</w:t>
      </w:r>
    </w:p>
    <w:p>
      <w:pPr>
        <w:pStyle w:val="12"/>
        <w:spacing w:before="120" w:after="120" w:line="330" w:lineRule="atLeast"/>
        <w:ind w:firstLine="480" w:firstLineChars="200"/>
        <w:rPr>
          <w:rFonts w:hAnsi="宋体" w:eastAsia="宋体"/>
          <w:sz w:val="24"/>
          <w:szCs w:val="24"/>
        </w:rPr>
      </w:pPr>
      <w:r>
        <w:rPr>
          <w:rFonts w:hAnsi="宋体" w:eastAsia="宋体"/>
          <w:sz w:val="24"/>
          <w:szCs w:val="24"/>
        </w:rPr>
        <w:t>4.3 乙方在货物发运手续办理完毕后24小时内或货到甲方48小时前通知甲方，以准备接货。</w:t>
      </w:r>
    </w:p>
    <w:p>
      <w:pPr>
        <w:pStyle w:val="12"/>
        <w:spacing w:before="120" w:after="120" w:line="330" w:lineRule="atLeast"/>
        <w:ind w:firstLine="480" w:firstLineChars="200"/>
        <w:rPr>
          <w:rFonts w:hAnsi="宋体" w:eastAsia="宋体"/>
          <w:sz w:val="24"/>
          <w:szCs w:val="24"/>
        </w:rPr>
      </w:pPr>
      <w:r>
        <w:rPr>
          <w:rFonts w:hAnsi="宋体" w:eastAsia="宋体"/>
          <w:sz w:val="24"/>
          <w:szCs w:val="24"/>
        </w:rPr>
        <w:t>4.4 货物在交付甲方前发生的风险均由乙方负责。</w:t>
      </w:r>
    </w:p>
    <w:p>
      <w:pPr>
        <w:pStyle w:val="12"/>
        <w:spacing w:before="120" w:after="120" w:line="330" w:lineRule="atLeast"/>
        <w:ind w:firstLine="480" w:firstLineChars="200"/>
        <w:rPr>
          <w:rFonts w:hAnsi="宋体" w:eastAsia="宋体"/>
          <w:sz w:val="24"/>
          <w:szCs w:val="24"/>
        </w:rPr>
      </w:pPr>
      <w:r>
        <w:rPr>
          <w:rFonts w:hint="eastAsia" w:hAnsi="宋体" w:eastAsia="宋体"/>
          <w:sz w:val="24"/>
          <w:szCs w:val="24"/>
        </w:rPr>
        <w:t>五、</w:t>
      </w:r>
      <w:r>
        <w:rPr>
          <w:rFonts w:hAnsi="宋体" w:eastAsia="宋体"/>
          <w:b/>
          <w:sz w:val="24"/>
          <w:szCs w:val="24"/>
        </w:rPr>
        <w:t>质量保证及售后服务</w:t>
      </w:r>
    </w:p>
    <w:p>
      <w:pPr>
        <w:pStyle w:val="12"/>
        <w:spacing w:before="120" w:after="120" w:line="330" w:lineRule="atLeast"/>
        <w:ind w:firstLine="480" w:firstLineChars="200"/>
        <w:rPr>
          <w:rFonts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pPr>
        <w:pStyle w:val="12"/>
        <w:spacing w:before="120" w:after="120" w:line="330" w:lineRule="atLeast"/>
        <w:ind w:firstLine="480" w:firstLineChars="200"/>
        <w:rPr>
          <w:rFonts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pPr>
        <w:pStyle w:val="12"/>
        <w:spacing w:before="120" w:after="120" w:line="330" w:lineRule="atLeast"/>
        <w:ind w:firstLine="480" w:firstLineChars="200"/>
        <w:rPr>
          <w:rFonts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sz w:val="24"/>
          <w:szCs w:val="24"/>
        </w:rPr>
        <w:t>质保期年。（自交货验收合格</w:t>
      </w:r>
      <w:r>
        <w:rPr>
          <w:rFonts w:hint="eastAsia" w:hAnsi="宋体" w:eastAsia="宋体"/>
          <w:sz w:val="24"/>
          <w:szCs w:val="24"/>
        </w:rPr>
        <w:t>次日</w:t>
      </w:r>
      <w:r>
        <w:rPr>
          <w:rFonts w:hAnsi="宋体" w:eastAsia="宋体"/>
          <w:sz w:val="24"/>
          <w:szCs w:val="24"/>
        </w:rPr>
        <w:t>起</w:t>
      </w:r>
      <w:r>
        <w:rPr>
          <w:rFonts w:hint="eastAsia" w:hAnsi="宋体" w:eastAsia="宋体"/>
          <w:sz w:val="24"/>
          <w:szCs w:val="24"/>
        </w:rPr>
        <w:t>计算</w:t>
      </w:r>
      <w:r>
        <w:rPr>
          <w:rFonts w:hAnsi="宋体" w:eastAsia="宋体"/>
          <w:sz w:val="24"/>
          <w:szCs w:val="24"/>
        </w:rPr>
        <w:t>），因人为因素出现的故障不在免费保修范围内。</w:t>
      </w:r>
    </w:p>
    <w:p>
      <w:pPr>
        <w:pStyle w:val="12"/>
        <w:spacing w:before="120" w:after="120" w:line="330" w:lineRule="atLeast"/>
        <w:ind w:firstLine="480" w:firstLineChars="200"/>
        <w:rPr>
          <w:rFonts w:hAnsi="宋体" w:eastAsia="宋体"/>
          <w:sz w:val="24"/>
          <w:szCs w:val="24"/>
        </w:rPr>
      </w:pPr>
      <w:r>
        <w:rPr>
          <w:rFonts w:hAnsi="宋体" w:eastAsia="宋体"/>
          <w:sz w:val="24"/>
          <w:szCs w:val="24"/>
        </w:rPr>
        <w:t>5.4</w:t>
      </w:r>
      <w:r>
        <w:rPr>
          <w:rFonts w:hint="eastAsia" w:hAnsi="宋体" w:eastAsia="宋体"/>
          <w:sz w:val="24"/>
          <w:szCs w:val="24"/>
        </w:rPr>
        <w:t>在质保期内，</w:t>
      </w:r>
      <w:r>
        <w:rPr>
          <w:rFonts w:hAnsi="宋体" w:eastAsia="宋体"/>
          <w:sz w:val="24"/>
          <w:szCs w:val="24"/>
        </w:rPr>
        <w:t>如在使用过程中发生质量问题，乙方在接到甲方通知后在_________小时</w:t>
      </w:r>
      <w:r>
        <w:rPr>
          <w:rFonts w:hint="eastAsia" w:hAnsi="宋体" w:eastAsia="宋体"/>
          <w:sz w:val="24"/>
          <w:szCs w:val="24"/>
        </w:rPr>
        <w:t>内响应，并在小时内赶到甲方现场，免费予以排除故障、修复或者更换零部件</w:t>
      </w:r>
      <w:r>
        <w:rPr>
          <w:rFonts w:hAnsi="宋体" w:eastAsia="宋体"/>
          <w:sz w:val="24"/>
          <w:szCs w:val="24"/>
        </w:rPr>
        <w:t>。</w:t>
      </w:r>
      <w:r>
        <w:rPr>
          <w:rFonts w:hint="eastAsia" w:hAnsi="宋体" w:eastAsia="宋体"/>
          <w:sz w:val="24"/>
          <w:szCs w:val="24"/>
        </w:rPr>
        <w:t>如未及时维修的，甲方委托他人维修，维修费从合同款中扣除或由乙方承担。</w:t>
      </w:r>
    </w:p>
    <w:p>
      <w:pPr>
        <w:pStyle w:val="12"/>
        <w:spacing w:before="120" w:after="120" w:line="330" w:lineRule="atLeast"/>
        <w:ind w:firstLine="480" w:firstLineChars="200"/>
        <w:rPr>
          <w:rFonts w:hAnsi="宋体" w:eastAsia="宋体"/>
          <w:sz w:val="24"/>
          <w:szCs w:val="24"/>
        </w:rPr>
      </w:pPr>
      <w:r>
        <w:rPr>
          <w:rFonts w:hAnsi="宋体" w:eastAsia="宋体"/>
          <w:sz w:val="24"/>
          <w:szCs w:val="24"/>
        </w:rPr>
        <w:t>5.5 在质保期内，乙方应对货物出现的质量及安全问题负责处理解决并承担一切费用。</w:t>
      </w:r>
    </w:p>
    <w:p>
      <w:pPr>
        <w:pStyle w:val="12"/>
        <w:spacing w:before="120" w:after="120" w:line="330" w:lineRule="atLeast"/>
        <w:ind w:firstLine="360" w:firstLineChars="150"/>
        <w:rPr>
          <w:rFonts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六</w:t>
      </w:r>
      <w:r>
        <w:rPr>
          <w:rFonts w:hAnsi="宋体" w:eastAsia="宋体"/>
          <w:b/>
          <w:sz w:val="24"/>
          <w:szCs w:val="24"/>
        </w:rPr>
        <w:t>、调试和验收</w:t>
      </w:r>
    </w:p>
    <w:p>
      <w:pPr>
        <w:pStyle w:val="12"/>
        <w:spacing w:before="120" w:after="120" w:line="330" w:lineRule="atLeast"/>
        <w:ind w:firstLine="480" w:firstLineChars="200"/>
        <w:rPr>
          <w:rFonts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pPr>
        <w:pStyle w:val="12"/>
        <w:spacing w:before="120" w:after="120" w:line="330" w:lineRule="atLeast"/>
        <w:ind w:firstLine="480" w:firstLineChars="200"/>
        <w:rPr>
          <w:rFonts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pPr>
        <w:pStyle w:val="12"/>
        <w:spacing w:before="120" w:after="120" w:line="330" w:lineRule="atLeast"/>
        <w:ind w:firstLine="480" w:firstLineChars="200"/>
        <w:rPr>
          <w:rFonts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pPr>
        <w:pStyle w:val="12"/>
        <w:spacing w:before="120" w:after="120" w:line="330" w:lineRule="atLeast"/>
        <w:ind w:firstLine="480" w:firstLineChars="200"/>
        <w:rPr>
          <w:rFonts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七</w:t>
      </w:r>
      <w:r>
        <w:rPr>
          <w:rFonts w:hAnsi="宋体" w:eastAsia="宋体"/>
          <w:b/>
          <w:sz w:val="24"/>
          <w:szCs w:val="24"/>
        </w:rPr>
        <w:t>、技术资料</w:t>
      </w:r>
    </w:p>
    <w:p>
      <w:pPr>
        <w:pStyle w:val="12"/>
        <w:spacing w:before="120" w:after="120" w:line="330" w:lineRule="atLeast"/>
        <w:ind w:firstLine="480" w:firstLineChars="200"/>
        <w:rPr>
          <w:rFonts w:hAnsi="宋体" w:eastAsia="宋体"/>
          <w:b/>
          <w:sz w:val="24"/>
          <w:szCs w:val="24"/>
        </w:rPr>
      </w:pPr>
      <w:r>
        <w:rPr>
          <w:rFonts w:hAnsi="宋体" w:eastAsia="宋体"/>
          <w:sz w:val="24"/>
          <w:szCs w:val="24"/>
        </w:rPr>
        <w:t>7.1乙方应按招标文件规定的时间向甲方提供使用货物的有关技术资料。</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八</w:t>
      </w:r>
      <w:r>
        <w:rPr>
          <w:rFonts w:hAnsi="宋体" w:eastAsia="宋体"/>
          <w:b/>
          <w:sz w:val="24"/>
          <w:szCs w:val="24"/>
        </w:rPr>
        <w:t>、知识产权</w:t>
      </w:r>
    </w:p>
    <w:p>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九</w:t>
      </w:r>
      <w:r>
        <w:rPr>
          <w:rFonts w:hAnsi="宋体" w:eastAsia="宋体"/>
          <w:b/>
          <w:sz w:val="24"/>
          <w:szCs w:val="24"/>
        </w:rPr>
        <w:t>、违约责任</w:t>
      </w:r>
    </w:p>
    <w:p>
      <w:pPr>
        <w:pStyle w:val="12"/>
        <w:spacing w:before="120" w:after="120" w:line="330" w:lineRule="atLeast"/>
        <w:ind w:firstLine="480" w:firstLineChars="200"/>
        <w:rPr>
          <w:rFonts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pPr>
        <w:pStyle w:val="12"/>
        <w:spacing w:before="120" w:after="120" w:line="330" w:lineRule="atLeast"/>
        <w:ind w:firstLine="480" w:firstLineChars="200"/>
        <w:rPr>
          <w:rFonts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pPr>
        <w:pStyle w:val="12"/>
        <w:spacing w:before="120" w:after="120" w:line="330" w:lineRule="atLeast"/>
        <w:ind w:firstLine="480" w:firstLineChars="200"/>
        <w:rPr>
          <w:rFonts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pPr>
        <w:pStyle w:val="12"/>
        <w:spacing w:before="120" w:after="120" w:line="330" w:lineRule="atLeast"/>
        <w:ind w:firstLine="480" w:firstLineChars="200"/>
        <w:rPr>
          <w:rFonts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10.3 不可抗力事件延续30天以上，双方应通过友好协商，确定是否继续履行合同。</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pPr>
        <w:pStyle w:val="12"/>
        <w:spacing w:before="120" w:after="120" w:line="330" w:lineRule="atLeast"/>
        <w:ind w:firstLine="480" w:firstLineChars="200"/>
        <w:rPr>
          <w:rFonts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w:t>
      </w:r>
      <w:r>
        <w:rPr>
          <w:rFonts w:hAnsi="宋体" w:eastAsia="宋体"/>
          <w:sz w:val="24"/>
          <w:szCs w:val="24"/>
        </w:rPr>
        <w:t>合同法》有关条文执行。</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pPr>
        <w:pStyle w:val="12"/>
        <w:spacing w:before="120" w:after="120" w:line="330" w:lineRule="atLeast"/>
        <w:ind w:firstLine="480" w:firstLineChars="200"/>
        <w:rPr>
          <w:rFonts w:hAnsi="宋体" w:eastAsia="宋体"/>
          <w:sz w:val="28"/>
          <w:szCs w:val="28"/>
        </w:rPr>
      </w:pPr>
      <w:r>
        <w:rPr>
          <w:rFonts w:hAnsi="宋体" w:eastAsia="宋体"/>
          <w:sz w:val="24"/>
          <w:szCs w:val="24"/>
        </w:rPr>
        <w:t xml:space="preserve">12.4 </w:t>
      </w:r>
      <w:r>
        <w:rPr>
          <w:rFonts w:hint="eastAsia" w:hAnsi="宋体" w:eastAsia="宋体"/>
          <w:sz w:val="24"/>
          <w:szCs w:val="24"/>
        </w:rPr>
        <w:t>其他：。</w:t>
      </w:r>
    </w:p>
    <w:p>
      <w:pPr>
        <w:pStyle w:val="12"/>
        <w:spacing w:before="120" w:after="120" w:line="330" w:lineRule="atLeast"/>
        <w:rPr>
          <w:rFonts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pPr>
        <w:pStyle w:val="12"/>
        <w:spacing w:before="120" w:after="120" w:line="330" w:lineRule="atLeast"/>
        <w:rPr>
          <w:rFonts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pPr>
        <w:pStyle w:val="12"/>
        <w:spacing w:before="120" w:after="120" w:line="330" w:lineRule="atLeast"/>
        <w:rPr>
          <w:rFonts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pPr>
        <w:pStyle w:val="12"/>
        <w:spacing w:before="120" w:after="120" w:line="330" w:lineRule="atLeast"/>
        <w:rPr>
          <w:rFonts w:hAnsi="宋体" w:eastAsia="宋体"/>
          <w:sz w:val="24"/>
          <w:szCs w:val="28"/>
        </w:rPr>
      </w:pPr>
      <w:r>
        <w:rPr>
          <w:rFonts w:hint="eastAsia" w:hAnsi="宋体" w:eastAsia="宋体"/>
          <w:sz w:val="24"/>
          <w:szCs w:val="28"/>
        </w:rPr>
        <w:t>联系电话：                                  联系电话：</w:t>
      </w:r>
    </w:p>
    <w:p>
      <w:pPr>
        <w:pStyle w:val="19"/>
        <w:ind w:firstLine="0" w:firstLineChars="0"/>
      </w:pPr>
    </w:p>
    <w:p>
      <w:pPr>
        <w:pStyle w:val="28"/>
        <w:ind w:firstLine="0"/>
        <w:rPr>
          <w:rFonts w:asciiTheme="minorEastAsia" w:hAnsiTheme="minorEastAsia" w:eastAsiaTheme="minorEastAsia"/>
          <w:sz w:val="28"/>
          <w:szCs w:val="28"/>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Fonts w:ascii="宋体" w:hAnsi="宋体"/>
      </w:rPr>
    </w:pPr>
    <w:r>
      <w:rPr>
        <w:rFonts w:ascii="宋体" w:hAnsi="宋体"/>
      </w:rPr>
      <w:fldChar w:fldCharType="begin"/>
    </w:r>
    <w:r>
      <w:rPr>
        <w:rStyle w:val="22"/>
        <w:rFonts w:ascii="宋体" w:hAnsi="宋体"/>
      </w:rPr>
      <w:instrText xml:space="preserve">PAGE  </w:instrText>
    </w:r>
    <w:r>
      <w:rPr>
        <w:rFonts w:ascii="宋体" w:hAnsi="宋体"/>
      </w:rPr>
      <w:fldChar w:fldCharType="separate"/>
    </w:r>
    <w:r>
      <w:rPr>
        <w:rStyle w:val="22"/>
        <w:rFonts w:ascii="宋体" w:hAnsi="宋体"/>
      </w:rPr>
      <w:t>4</w:t>
    </w:r>
    <w:r>
      <w:rPr>
        <w:rFonts w:ascii="宋体" w:hAnsi="宋体"/>
      </w:rPr>
      <w:fldChar w:fldCharType="end"/>
    </w:r>
  </w:p>
  <w:p>
    <w:pPr>
      <w:pStyle w:val="14"/>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pStyle w:val="47"/>
      <w:lvlText w:val="%1、"/>
      <w:lvlJc w:val="left"/>
      <w:pPr>
        <w:tabs>
          <w:tab w:val="left" w:pos="720"/>
        </w:tabs>
        <w:ind w:left="720" w:hanging="720"/>
      </w:pPr>
      <w:rPr>
        <w:rFonts w:hint="eastAsia"/>
      </w:rPr>
    </w:lvl>
    <w:lvl w:ilvl="1" w:tentative="0">
      <w:start w:val="1"/>
      <w:numFmt w:val="chineseCountingThousand"/>
      <w:lvlText w:val="（%2）"/>
      <w:lvlJc w:val="left"/>
      <w:pPr>
        <w:tabs>
          <w:tab w:val="left" w:pos="780"/>
        </w:tabs>
        <w:ind w:left="780" w:hanging="78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5C7E0EE5"/>
    <w:multiLevelType w:val="multilevel"/>
    <w:tmpl w:val="5C7E0EE5"/>
    <w:lvl w:ilvl="0" w:tentative="0">
      <w:start w:val="1"/>
      <w:numFmt w:val="chineseCountingThousand"/>
      <w:pStyle w:val="33"/>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1OGQwNGU2MjVlMjYwOGQ1M2Y4ZGExZjVhZjcwMWYifQ=="/>
  </w:docVars>
  <w:rsids>
    <w:rsidRoot w:val="00D31D50"/>
    <w:rsid w:val="00026CA5"/>
    <w:rsid w:val="000458DB"/>
    <w:rsid w:val="000508AB"/>
    <w:rsid w:val="00050D10"/>
    <w:rsid w:val="0005267F"/>
    <w:rsid w:val="00053D8C"/>
    <w:rsid w:val="000843A9"/>
    <w:rsid w:val="0008466D"/>
    <w:rsid w:val="0009546A"/>
    <w:rsid w:val="000A0914"/>
    <w:rsid w:val="000B08EC"/>
    <w:rsid w:val="000B0E83"/>
    <w:rsid w:val="000B4450"/>
    <w:rsid w:val="000B538B"/>
    <w:rsid w:val="000D0163"/>
    <w:rsid w:val="000E353B"/>
    <w:rsid w:val="00101A8A"/>
    <w:rsid w:val="001225B3"/>
    <w:rsid w:val="00124A3C"/>
    <w:rsid w:val="0013715E"/>
    <w:rsid w:val="00141840"/>
    <w:rsid w:val="0016026B"/>
    <w:rsid w:val="00167738"/>
    <w:rsid w:val="0018239E"/>
    <w:rsid w:val="0018443B"/>
    <w:rsid w:val="001925D7"/>
    <w:rsid w:val="001929A5"/>
    <w:rsid w:val="001A049C"/>
    <w:rsid w:val="001B6A78"/>
    <w:rsid w:val="001C20DD"/>
    <w:rsid w:val="001C4B26"/>
    <w:rsid w:val="001D0768"/>
    <w:rsid w:val="001E4020"/>
    <w:rsid w:val="001F4F63"/>
    <w:rsid w:val="0020432E"/>
    <w:rsid w:val="002070F5"/>
    <w:rsid w:val="00232127"/>
    <w:rsid w:val="002327D4"/>
    <w:rsid w:val="00272CB4"/>
    <w:rsid w:val="002B2FBB"/>
    <w:rsid w:val="002D2055"/>
    <w:rsid w:val="002E26AA"/>
    <w:rsid w:val="003006D0"/>
    <w:rsid w:val="00300F88"/>
    <w:rsid w:val="00323B43"/>
    <w:rsid w:val="00327947"/>
    <w:rsid w:val="00347E27"/>
    <w:rsid w:val="0036460C"/>
    <w:rsid w:val="00380B99"/>
    <w:rsid w:val="0038270D"/>
    <w:rsid w:val="003A22E8"/>
    <w:rsid w:val="003B2DF7"/>
    <w:rsid w:val="003D2715"/>
    <w:rsid w:val="003D37D8"/>
    <w:rsid w:val="003F3546"/>
    <w:rsid w:val="003F7CC8"/>
    <w:rsid w:val="00401598"/>
    <w:rsid w:val="00411C53"/>
    <w:rsid w:val="00414074"/>
    <w:rsid w:val="00414C13"/>
    <w:rsid w:val="00421D40"/>
    <w:rsid w:val="00426133"/>
    <w:rsid w:val="004358AB"/>
    <w:rsid w:val="0043654C"/>
    <w:rsid w:val="0044705E"/>
    <w:rsid w:val="004808C6"/>
    <w:rsid w:val="004A4F2D"/>
    <w:rsid w:val="004E3402"/>
    <w:rsid w:val="004F5C9E"/>
    <w:rsid w:val="005059E0"/>
    <w:rsid w:val="005129DB"/>
    <w:rsid w:val="00542987"/>
    <w:rsid w:val="00582977"/>
    <w:rsid w:val="005866DD"/>
    <w:rsid w:val="00590D7C"/>
    <w:rsid w:val="005A5F50"/>
    <w:rsid w:val="005B00B9"/>
    <w:rsid w:val="005B44B4"/>
    <w:rsid w:val="0060453F"/>
    <w:rsid w:val="006045FD"/>
    <w:rsid w:val="006411FE"/>
    <w:rsid w:val="00657B2C"/>
    <w:rsid w:val="00663D89"/>
    <w:rsid w:val="00681F07"/>
    <w:rsid w:val="00690B3D"/>
    <w:rsid w:val="006A096A"/>
    <w:rsid w:val="006A112C"/>
    <w:rsid w:val="006C6B1D"/>
    <w:rsid w:val="00710E53"/>
    <w:rsid w:val="0071106B"/>
    <w:rsid w:val="007178CD"/>
    <w:rsid w:val="00725153"/>
    <w:rsid w:val="00747556"/>
    <w:rsid w:val="00750784"/>
    <w:rsid w:val="00792482"/>
    <w:rsid w:val="0079316D"/>
    <w:rsid w:val="007943F2"/>
    <w:rsid w:val="007947E9"/>
    <w:rsid w:val="007A58F8"/>
    <w:rsid w:val="007F18E6"/>
    <w:rsid w:val="007F226B"/>
    <w:rsid w:val="00830E76"/>
    <w:rsid w:val="00841379"/>
    <w:rsid w:val="0085068C"/>
    <w:rsid w:val="008545FA"/>
    <w:rsid w:val="008940B1"/>
    <w:rsid w:val="008B1021"/>
    <w:rsid w:val="008B154E"/>
    <w:rsid w:val="008B7726"/>
    <w:rsid w:val="008E3A38"/>
    <w:rsid w:val="008F5952"/>
    <w:rsid w:val="008F6FC4"/>
    <w:rsid w:val="008F7663"/>
    <w:rsid w:val="00901E4A"/>
    <w:rsid w:val="00914B43"/>
    <w:rsid w:val="00917C9A"/>
    <w:rsid w:val="009330FF"/>
    <w:rsid w:val="00937A6C"/>
    <w:rsid w:val="00954E6B"/>
    <w:rsid w:val="009569A2"/>
    <w:rsid w:val="00985BBC"/>
    <w:rsid w:val="0099642C"/>
    <w:rsid w:val="009B4528"/>
    <w:rsid w:val="009D140B"/>
    <w:rsid w:val="009E1102"/>
    <w:rsid w:val="009E4FC4"/>
    <w:rsid w:val="009E5541"/>
    <w:rsid w:val="00A02CA7"/>
    <w:rsid w:val="00A478D2"/>
    <w:rsid w:val="00A67624"/>
    <w:rsid w:val="00A719C8"/>
    <w:rsid w:val="00A754E0"/>
    <w:rsid w:val="00AA278C"/>
    <w:rsid w:val="00AB3CFF"/>
    <w:rsid w:val="00AC2325"/>
    <w:rsid w:val="00AC3CE4"/>
    <w:rsid w:val="00AD713B"/>
    <w:rsid w:val="00AE6332"/>
    <w:rsid w:val="00AF0E8F"/>
    <w:rsid w:val="00B034F4"/>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A5C"/>
    <w:rsid w:val="00BD2AED"/>
    <w:rsid w:val="00BD6A49"/>
    <w:rsid w:val="00BD77ED"/>
    <w:rsid w:val="00BE0391"/>
    <w:rsid w:val="00BE7284"/>
    <w:rsid w:val="00BF3F02"/>
    <w:rsid w:val="00BF5CCA"/>
    <w:rsid w:val="00C13584"/>
    <w:rsid w:val="00C30C20"/>
    <w:rsid w:val="00C40E65"/>
    <w:rsid w:val="00C541CB"/>
    <w:rsid w:val="00C55166"/>
    <w:rsid w:val="00C72ECF"/>
    <w:rsid w:val="00C76558"/>
    <w:rsid w:val="00C86FD4"/>
    <w:rsid w:val="00CC1E4F"/>
    <w:rsid w:val="00CC574A"/>
    <w:rsid w:val="00D278D7"/>
    <w:rsid w:val="00D31D50"/>
    <w:rsid w:val="00D53633"/>
    <w:rsid w:val="00D55D24"/>
    <w:rsid w:val="00D56CB6"/>
    <w:rsid w:val="00D61AE7"/>
    <w:rsid w:val="00D634CC"/>
    <w:rsid w:val="00D9005C"/>
    <w:rsid w:val="00DA1746"/>
    <w:rsid w:val="00DA4334"/>
    <w:rsid w:val="00DB5FD8"/>
    <w:rsid w:val="00DD78D1"/>
    <w:rsid w:val="00DE05FA"/>
    <w:rsid w:val="00DE421A"/>
    <w:rsid w:val="00DF12D7"/>
    <w:rsid w:val="00E011DE"/>
    <w:rsid w:val="00E1409B"/>
    <w:rsid w:val="00E14FB9"/>
    <w:rsid w:val="00E31BD3"/>
    <w:rsid w:val="00E34600"/>
    <w:rsid w:val="00E52BFB"/>
    <w:rsid w:val="00E7796D"/>
    <w:rsid w:val="00E81B75"/>
    <w:rsid w:val="00E86FAF"/>
    <w:rsid w:val="00EB187E"/>
    <w:rsid w:val="00EC6D84"/>
    <w:rsid w:val="00F04061"/>
    <w:rsid w:val="00F14151"/>
    <w:rsid w:val="00F30A36"/>
    <w:rsid w:val="00F4455E"/>
    <w:rsid w:val="00F5231B"/>
    <w:rsid w:val="00F94053"/>
    <w:rsid w:val="00FA4F5F"/>
    <w:rsid w:val="00FB608D"/>
    <w:rsid w:val="00FD4A32"/>
    <w:rsid w:val="00FE76F8"/>
    <w:rsid w:val="00FF44F0"/>
    <w:rsid w:val="00FF4B4C"/>
    <w:rsid w:val="00FF7A26"/>
    <w:rsid w:val="013F017A"/>
    <w:rsid w:val="08137017"/>
    <w:rsid w:val="0AA26D90"/>
    <w:rsid w:val="11660B07"/>
    <w:rsid w:val="1A6E1AC6"/>
    <w:rsid w:val="1EDD4D38"/>
    <w:rsid w:val="1FD06747"/>
    <w:rsid w:val="1FD45B0E"/>
    <w:rsid w:val="23457BEE"/>
    <w:rsid w:val="26396471"/>
    <w:rsid w:val="2A426494"/>
    <w:rsid w:val="2B3D38EA"/>
    <w:rsid w:val="2E64028C"/>
    <w:rsid w:val="30CA3C63"/>
    <w:rsid w:val="371669D8"/>
    <w:rsid w:val="391B19E2"/>
    <w:rsid w:val="3BF426EE"/>
    <w:rsid w:val="3EB20F1F"/>
    <w:rsid w:val="42D6199A"/>
    <w:rsid w:val="42F862EF"/>
    <w:rsid w:val="4A7B6593"/>
    <w:rsid w:val="4CCB7C2E"/>
    <w:rsid w:val="57194839"/>
    <w:rsid w:val="58E36743"/>
    <w:rsid w:val="5A072AAB"/>
    <w:rsid w:val="5E990205"/>
    <w:rsid w:val="6358540C"/>
    <w:rsid w:val="63BD45E1"/>
    <w:rsid w:val="69446BCD"/>
    <w:rsid w:val="69B71F24"/>
    <w:rsid w:val="6A245779"/>
    <w:rsid w:val="6A4D6CA5"/>
    <w:rsid w:val="6CCF085E"/>
    <w:rsid w:val="6CDA414F"/>
    <w:rsid w:val="6DF36786"/>
    <w:rsid w:val="6F8D3F7D"/>
    <w:rsid w:val="70F16A74"/>
    <w:rsid w:val="71581491"/>
    <w:rsid w:val="72F72576"/>
    <w:rsid w:val="73245490"/>
    <w:rsid w:val="74AB629B"/>
    <w:rsid w:val="762D3933"/>
    <w:rsid w:val="76487C82"/>
    <w:rsid w:val="7710743C"/>
    <w:rsid w:val="77B42785"/>
    <w:rsid w:val="786B40D1"/>
    <w:rsid w:val="7A4F1C83"/>
    <w:rsid w:val="7C0E40F6"/>
    <w:rsid w:val="7C4D1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26"/>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4">
    <w:name w:val="heading 2"/>
    <w:basedOn w:val="1"/>
    <w:next w:val="1"/>
    <w:link w:val="4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29"/>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7">
    <w:name w:val="heading 4"/>
    <w:basedOn w:val="1"/>
    <w:next w:val="1"/>
    <w:link w:val="30"/>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1">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rFonts w:cs="Times New Roman"/>
    </w:rPr>
  </w:style>
  <w:style w:type="paragraph" w:styleId="6">
    <w:name w:val="Normal Indent"/>
    <w:basedOn w:val="1"/>
    <w:link w:val="35"/>
    <w:qFormat/>
    <w:uiPriority w:val="0"/>
    <w:pPr>
      <w:widowControl w:val="0"/>
      <w:adjustRightInd/>
      <w:snapToGrid/>
      <w:spacing w:after="0"/>
      <w:ind w:firstLine="420"/>
      <w:jc w:val="both"/>
    </w:pPr>
    <w:rPr>
      <w:rFonts w:asciiTheme="minorHAnsi" w:hAnsiTheme="minorHAnsi"/>
      <w:kern w:val="2"/>
      <w:sz w:val="21"/>
      <w:szCs w:val="21"/>
    </w:rPr>
  </w:style>
  <w:style w:type="paragraph" w:styleId="8">
    <w:name w:val="annotation text"/>
    <w:basedOn w:val="1"/>
    <w:semiHidden/>
    <w:qFormat/>
    <w:uiPriority w:val="99"/>
    <w:rPr>
      <w:rFonts w:eastAsiaTheme="minorEastAsia"/>
      <w:kern w:val="2"/>
      <w:sz w:val="21"/>
      <w14:ligatures w14:val="standardContextual"/>
    </w:rPr>
  </w:style>
  <w:style w:type="paragraph" w:styleId="9">
    <w:name w:val="Body Text"/>
    <w:basedOn w:val="1"/>
    <w:link w:val="45"/>
    <w:qFormat/>
    <w:uiPriority w:val="0"/>
    <w:pPr>
      <w:widowControl w:val="0"/>
      <w:adjustRightInd/>
      <w:snapToGrid/>
      <w:spacing w:after="0"/>
      <w:jc w:val="both"/>
    </w:pPr>
    <w:rPr>
      <w:rFonts w:ascii="楷体_GB2312" w:hAnsi="Arial" w:eastAsia="楷体_GB2312"/>
      <w:kern w:val="2"/>
      <w:sz w:val="28"/>
      <w:szCs w:val="28"/>
    </w:rPr>
  </w:style>
  <w:style w:type="paragraph" w:styleId="10">
    <w:name w:val="Body Text Indent"/>
    <w:basedOn w:val="1"/>
    <w:next w:val="11"/>
    <w:qFormat/>
    <w:uiPriority w:val="0"/>
    <w:pPr>
      <w:spacing w:line="440" w:lineRule="exact"/>
      <w:ind w:firstLine="403" w:firstLineChars="192"/>
    </w:pPr>
    <w:rPr>
      <w:rFonts w:ascii="宋体" w:hAnsi="宋体" w:eastAsia="宋体" w:cs="宋体"/>
      <w:szCs w:val="21"/>
    </w:rPr>
  </w:style>
  <w:style w:type="paragraph" w:styleId="11">
    <w:name w:val="envelope return"/>
    <w:basedOn w:val="1"/>
    <w:qFormat/>
    <w:uiPriority w:val="0"/>
    <w:rPr>
      <w:rFonts w:ascii="Arial" w:hAnsi="Arial"/>
    </w:rPr>
  </w:style>
  <w:style w:type="paragraph" w:styleId="12">
    <w:name w:val="Plain Text"/>
    <w:basedOn w:val="1"/>
    <w:link w:val="39"/>
    <w:qFormat/>
    <w:uiPriority w:val="0"/>
    <w:pPr>
      <w:widowControl w:val="0"/>
      <w:adjustRightInd/>
      <w:snapToGrid/>
      <w:spacing w:after="0"/>
      <w:jc w:val="both"/>
    </w:pPr>
    <w:rPr>
      <w:rFonts w:ascii="宋体" w:hAnsi="Courier New" w:cs="Courier New"/>
      <w:kern w:val="2"/>
      <w:sz w:val="21"/>
      <w:szCs w:val="21"/>
    </w:rPr>
  </w:style>
  <w:style w:type="paragraph" w:styleId="13">
    <w:name w:val="Balloon Text"/>
    <w:basedOn w:val="1"/>
    <w:link w:val="46"/>
    <w:semiHidden/>
    <w:unhideWhenUsed/>
    <w:qFormat/>
    <w:uiPriority w:val="99"/>
    <w:pPr>
      <w:spacing w:after="0"/>
    </w:pPr>
    <w:rPr>
      <w:sz w:val="18"/>
      <w:szCs w:val="18"/>
    </w:rPr>
  </w:style>
  <w:style w:type="paragraph" w:styleId="14">
    <w:name w:val="footer"/>
    <w:basedOn w:val="1"/>
    <w:link w:val="25"/>
    <w:unhideWhenUsed/>
    <w:qFormat/>
    <w:uiPriority w:val="99"/>
    <w:pPr>
      <w:tabs>
        <w:tab w:val="center" w:pos="4153"/>
        <w:tab w:val="right" w:pos="8306"/>
      </w:tabs>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7">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18">
    <w:name w:val="Title"/>
    <w:basedOn w:val="1"/>
    <w:next w:val="1"/>
    <w:link w:val="36"/>
    <w:qFormat/>
    <w:uiPriority w:val="0"/>
    <w:pPr>
      <w:widowControl w:val="0"/>
      <w:adjustRightInd/>
      <w:snapToGrid/>
      <w:spacing w:before="240" w:after="60"/>
      <w:jc w:val="center"/>
      <w:outlineLvl w:val="0"/>
    </w:pPr>
    <w:rPr>
      <w:rFonts w:ascii="Cambria" w:hAnsi="Cambria"/>
      <w:b/>
      <w:bCs/>
      <w:kern w:val="2"/>
      <w:sz w:val="32"/>
      <w:szCs w:val="32"/>
    </w:rPr>
  </w:style>
  <w:style w:type="paragraph" w:styleId="19">
    <w:name w:val="Body Text First Indent 2"/>
    <w:basedOn w:val="10"/>
    <w:next w:val="1"/>
    <w:qFormat/>
    <w:uiPriority w:val="99"/>
    <w:pPr>
      <w:widowControl w:val="0"/>
      <w:ind w:firstLine="420" w:firstLineChars="200"/>
      <w:jc w:val="both"/>
    </w:pPr>
    <w:rPr>
      <w:rFonts w:ascii="Calibri" w:hAnsi="Calibri" w:cs="Calibri"/>
      <w:kern w:val="2"/>
      <w:sz w:val="21"/>
    </w:rPr>
  </w:style>
  <w:style w:type="character" w:styleId="22">
    <w:name w:val="page number"/>
    <w:basedOn w:val="21"/>
    <w:qFormat/>
    <w:uiPriority w:val="0"/>
  </w:style>
  <w:style w:type="character" w:styleId="23">
    <w:name w:val="Hyperlink"/>
    <w:qFormat/>
    <w:uiPriority w:val="99"/>
    <w:rPr>
      <w:color w:val="0000FF"/>
      <w:u w:val="single"/>
    </w:rPr>
  </w:style>
  <w:style w:type="character" w:customStyle="1" w:styleId="24">
    <w:name w:val="页眉 Char"/>
    <w:basedOn w:val="21"/>
    <w:link w:val="15"/>
    <w:qFormat/>
    <w:uiPriority w:val="99"/>
    <w:rPr>
      <w:rFonts w:ascii="Tahoma" w:hAnsi="Tahoma"/>
      <w:sz w:val="18"/>
      <w:szCs w:val="18"/>
    </w:rPr>
  </w:style>
  <w:style w:type="character" w:customStyle="1" w:styleId="25">
    <w:name w:val="页脚 Char"/>
    <w:basedOn w:val="21"/>
    <w:link w:val="14"/>
    <w:qFormat/>
    <w:uiPriority w:val="99"/>
    <w:rPr>
      <w:rFonts w:ascii="Tahoma" w:hAnsi="Tahoma"/>
      <w:sz w:val="18"/>
      <w:szCs w:val="18"/>
    </w:rPr>
  </w:style>
  <w:style w:type="character" w:customStyle="1" w:styleId="26">
    <w:name w:val="标题 1 Char"/>
    <w:basedOn w:val="21"/>
    <w:link w:val="3"/>
    <w:qFormat/>
    <w:uiPriority w:val="9"/>
    <w:rPr>
      <w:rFonts w:ascii="楷体_GB2312" w:hAnsi="Times New Roman" w:eastAsia="楷体_GB2312" w:cs="Times New Roman"/>
      <w:kern w:val="2"/>
      <w:sz w:val="28"/>
      <w:szCs w:val="28"/>
    </w:rPr>
  </w:style>
  <w:style w:type="paragraph" w:customStyle="1" w:styleId="27">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8">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9">
    <w:name w:val="标题 3 Char"/>
    <w:basedOn w:val="21"/>
    <w:link w:val="5"/>
    <w:qFormat/>
    <w:uiPriority w:val="0"/>
    <w:rPr>
      <w:rFonts w:ascii="Times New Roman" w:hAnsi="Times New Roman" w:eastAsia="宋体" w:cs="Times New Roman"/>
      <w:b/>
      <w:bCs/>
      <w:kern w:val="2"/>
      <w:sz w:val="32"/>
      <w:szCs w:val="32"/>
    </w:rPr>
  </w:style>
  <w:style w:type="character" w:customStyle="1" w:styleId="30">
    <w:name w:val="标题 4 Char"/>
    <w:basedOn w:val="21"/>
    <w:link w:val="7"/>
    <w:qFormat/>
    <w:uiPriority w:val="9"/>
    <w:rPr>
      <w:rFonts w:ascii="Arial" w:hAnsi="Arial" w:eastAsia="黑体" w:cs="Arial"/>
      <w:b/>
      <w:bCs/>
      <w:kern w:val="2"/>
      <w:sz w:val="28"/>
      <w:szCs w:val="28"/>
    </w:rPr>
  </w:style>
  <w:style w:type="character" w:customStyle="1" w:styleId="31">
    <w:name w:val="标题 Char1"/>
    <w:basedOn w:val="21"/>
    <w:qFormat/>
    <w:uiPriority w:val="0"/>
    <w:rPr>
      <w:rFonts w:ascii="Cambria" w:hAnsi="Cambria"/>
      <w:b/>
      <w:bCs/>
      <w:kern w:val="2"/>
      <w:sz w:val="32"/>
      <w:szCs w:val="32"/>
    </w:rPr>
  </w:style>
  <w:style w:type="character" w:customStyle="1" w:styleId="32">
    <w:name w:val="标题二 Char"/>
    <w:link w:val="33"/>
    <w:qFormat/>
    <w:uiPriority w:val="0"/>
    <w:rPr>
      <w:rFonts w:ascii="宋体" w:hAnsi="宋体" w:cs="Calibri"/>
      <w:b/>
      <w:color w:val="000000"/>
      <w:kern w:val="1"/>
      <w:sz w:val="28"/>
      <w:szCs w:val="28"/>
    </w:rPr>
  </w:style>
  <w:style w:type="paragraph" w:customStyle="1" w:styleId="33">
    <w:name w:val="标题二"/>
    <w:basedOn w:val="34"/>
    <w:link w:val="32"/>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4">
    <w:name w:val="List Paragraph"/>
    <w:basedOn w:val="1"/>
    <w:qFormat/>
    <w:uiPriority w:val="34"/>
    <w:pPr>
      <w:ind w:firstLine="420" w:firstLineChars="200"/>
    </w:pPr>
  </w:style>
  <w:style w:type="character" w:customStyle="1" w:styleId="35">
    <w:name w:val="正文缩进 Char"/>
    <w:link w:val="6"/>
    <w:qFormat/>
    <w:uiPriority w:val="0"/>
    <w:rPr>
      <w:kern w:val="2"/>
      <w:sz w:val="21"/>
      <w:szCs w:val="21"/>
    </w:rPr>
  </w:style>
  <w:style w:type="character" w:customStyle="1" w:styleId="36">
    <w:name w:val="标题 Char"/>
    <w:basedOn w:val="21"/>
    <w:link w:val="18"/>
    <w:qFormat/>
    <w:uiPriority w:val="10"/>
    <w:rPr>
      <w:rFonts w:eastAsia="宋体" w:asciiTheme="majorHAnsi" w:hAnsiTheme="majorHAnsi" w:cstheme="majorBidi"/>
      <w:b/>
      <w:bCs/>
      <w:sz w:val="32"/>
      <w:szCs w:val="32"/>
    </w:rPr>
  </w:style>
  <w:style w:type="character" w:customStyle="1" w:styleId="37">
    <w:name w:val="font1"/>
    <w:qFormat/>
    <w:uiPriority w:val="0"/>
    <w:rPr>
      <w:color w:val="333333"/>
      <w:spacing w:val="450"/>
      <w:sz w:val="18"/>
      <w:szCs w:val="18"/>
      <w:u w:val="none"/>
    </w:rPr>
  </w:style>
  <w:style w:type="character" w:customStyle="1" w:styleId="38">
    <w:name w:val="纯文本 Char"/>
    <w:qFormat/>
    <w:uiPriority w:val="0"/>
    <w:rPr>
      <w:rFonts w:ascii="宋体" w:hAnsi="Courier New" w:cs="Courier New"/>
      <w:kern w:val="2"/>
      <w:sz w:val="21"/>
      <w:szCs w:val="21"/>
    </w:rPr>
  </w:style>
  <w:style w:type="character" w:customStyle="1" w:styleId="39">
    <w:name w:val="纯文本 Char1"/>
    <w:basedOn w:val="21"/>
    <w:link w:val="12"/>
    <w:semiHidden/>
    <w:qFormat/>
    <w:uiPriority w:val="99"/>
    <w:rPr>
      <w:rFonts w:ascii="宋体" w:hAnsi="Courier New" w:eastAsia="宋体" w:cs="Courier New"/>
      <w:sz w:val="21"/>
      <w:szCs w:val="21"/>
    </w:rPr>
  </w:style>
  <w:style w:type="character" w:customStyle="1" w:styleId="40">
    <w:name w:val="标题 2 Char"/>
    <w:basedOn w:val="21"/>
    <w:link w:val="4"/>
    <w:semiHidden/>
    <w:qFormat/>
    <w:uiPriority w:val="9"/>
    <w:rPr>
      <w:rFonts w:asciiTheme="majorHAnsi" w:hAnsiTheme="majorHAnsi" w:eastAsiaTheme="majorEastAsia" w:cstheme="majorBidi"/>
      <w:b/>
      <w:bCs/>
      <w:sz w:val="32"/>
      <w:szCs w:val="32"/>
    </w:rPr>
  </w:style>
  <w:style w:type="character" w:customStyle="1" w:styleId="41">
    <w:name w:val="正文文本 Char"/>
    <w:qFormat/>
    <w:uiPriority w:val="0"/>
    <w:rPr>
      <w:rFonts w:ascii="楷体_GB2312" w:hAnsi="Arial" w:eastAsia="楷体_GB2312"/>
      <w:kern w:val="2"/>
      <w:sz w:val="28"/>
      <w:szCs w:val="28"/>
    </w:rPr>
  </w:style>
  <w:style w:type="character" w:customStyle="1" w:styleId="42">
    <w:name w:val="列出段落 Char"/>
    <w:link w:val="43"/>
    <w:qFormat/>
    <w:locked/>
    <w:uiPriority w:val="34"/>
    <w:rPr>
      <w:rFonts w:ascii="Calibri" w:hAnsi="Calibri"/>
      <w:sz w:val="24"/>
      <w:szCs w:val="24"/>
      <w:lang w:eastAsia="en-US" w:bidi="en-US"/>
    </w:rPr>
  </w:style>
  <w:style w:type="paragraph" w:customStyle="1" w:styleId="43">
    <w:name w:val="列出段落11"/>
    <w:basedOn w:val="1"/>
    <w:link w:val="42"/>
    <w:qFormat/>
    <w:uiPriority w:val="34"/>
    <w:pPr>
      <w:adjustRightInd/>
      <w:snapToGrid/>
      <w:spacing w:after="0"/>
      <w:ind w:left="720"/>
      <w:contextualSpacing/>
    </w:pPr>
    <w:rPr>
      <w:rFonts w:ascii="Calibri" w:hAnsi="Calibri"/>
      <w:sz w:val="24"/>
      <w:szCs w:val="24"/>
      <w:lang w:eastAsia="en-US" w:bidi="en-US"/>
    </w:rPr>
  </w:style>
  <w:style w:type="paragraph" w:customStyle="1" w:styleId="44">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5">
    <w:name w:val="正文文本 Char1"/>
    <w:basedOn w:val="21"/>
    <w:link w:val="9"/>
    <w:semiHidden/>
    <w:qFormat/>
    <w:uiPriority w:val="99"/>
    <w:rPr>
      <w:rFonts w:ascii="Tahoma" w:hAnsi="Tahoma"/>
    </w:rPr>
  </w:style>
  <w:style w:type="character" w:customStyle="1" w:styleId="46">
    <w:name w:val="批注框文本 Char"/>
    <w:basedOn w:val="21"/>
    <w:link w:val="13"/>
    <w:semiHidden/>
    <w:qFormat/>
    <w:uiPriority w:val="99"/>
    <w:rPr>
      <w:rFonts w:ascii="Tahoma" w:hAnsi="Tahoma"/>
      <w:sz w:val="18"/>
      <w:szCs w:val="18"/>
    </w:rPr>
  </w:style>
  <w:style w:type="paragraph" w:customStyle="1" w:styleId="47">
    <w:name w:val="二级目录"/>
    <w:next w:val="1"/>
    <w:qFormat/>
    <w:uiPriority w:val="99"/>
    <w:pPr>
      <w:numPr>
        <w:ilvl w:val="0"/>
        <w:numId w:val="2"/>
      </w:numPr>
      <w:outlineLvl w:val="1"/>
    </w:pPr>
    <w:rPr>
      <w:rFonts w:ascii="Times New Roman" w:hAnsi="Times New Roman" w:eastAsia="仿宋" w:cs="Times New Roman"/>
      <w:b/>
      <w:bCs/>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0C3D81F-ABF9-46EA-A060-083E607036C3}">
  <ds:schemaRefs/>
</ds:datastoreItem>
</file>

<file path=docProps/app.xml><?xml version="1.0" encoding="utf-8"?>
<Properties xmlns="http://schemas.openxmlformats.org/officeDocument/2006/extended-properties" xmlns:vt="http://schemas.openxmlformats.org/officeDocument/2006/docPropsVTypes">
  <Template>Normal</Template>
  <Pages>32</Pages>
  <Words>2307</Words>
  <Characters>13151</Characters>
  <Lines>109</Lines>
  <Paragraphs>30</Paragraphs>
  <TotalTime>4</TotalTime>
  <ScaleCrop>false</ScaleCrop>
  <LinksUpToDate>false</LinksUpToDate>
  <CharactersWithSpaces>15428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2023-12-14T06:01:00Z</dcterms:created>
  <dc:creator>admin</dc:creator>
  <cp:lastModifiedBy>admin</cp:lastModifiedBy>
  <dcterms:modified xsi:type="dcterms:W3CDTF">2023-12-19T05:58:12Z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2AE53779D2F346CDB1110BE8DF67D381_13</vt:lpwstr>
  </property>
</Properties>
</file>