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招标公告</w:t>
      </w:r>
    </w:p>
    <w:p w14:paraId="25D9C5AA">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项目概况</w:t>
      </w:r>
    </w:p>
    <w:p w14:paraId="4BD77C14">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auto"/>
          <w:szCs w:val="21"/>
          <w:highlight w:val="none"/>
        </w:rPr>
      </w:pPr>
      <w:bookmarkStart w:id="24" w:name="_GoBack"/>
      <w:r>
        <w:rPr>
          <w:rFonts w:hint="eastAsia" w:ascii="宋体" w:hAnsi="宋体" w:cs="宋体"/>
          <w:color w:val="auto"/>
          <w:szCs w:val="21"/>
          <w:highlight w:val="none"/>
          <w:u w:val="single"/>
        </w:rPr>
        <w:t>南京医科大学常州校区汽车租赁服务采购项目</w:t>
      </w:r>
      <w:bookmarkEnd w:id="24"/>
      <w:r>
        <w:rPr>
          <w:rFonts w:hint="eastAsia" w:ascii="宋体" w:hAnsi="宋体" w:cs="宋体"/>
          <w:color w:val="auto"/>
          <w:szCs w:val="21"/>
          <w:highlight w:val="none"/>
        </w:rPr>
        <w:t>招标项目的潜在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w:t>
      </w:r>
      <w:r>
        <w:rPr>
          <w:rFonts w:hint="eastAsia" w:ascii="宋体" w:hAnsi="宋体" w:cs="宋体"/>
          <w:color w:val="auto"/>
          <w:szCs w:val="21"/>
          <w:highlight w:val="none"/>
          <w:u w:val="single"/>
        </w:rPr>
        <w:t>南京市中山路99号12楼1212室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（北京时间）前递交投标文件。</w:t>
      </w:r>
    </w:p>
    <w:p w14:paraId="6AD58107">
      <w:pPr>
        <w:spacing w:line="360" w:lineRule="auto"/>
        <w:jc w:val="left"/>
        <w:rPr>
          <w:rFonts w:ascii="宋体" w:hAnsi="宋体" w:cs="宋体"/>
          <w:color w:val="auto"/>
          <w:szCs w:val="21"/>
          <w:highlight w:val="none"/>
        </w:rPr>
      </w:pPr>
      <w:bookmarkStart w:id="0" w:name="_Toc35393621"/>
      <w:bookmarkStart w:id="1" w:name="_Toc35393790"/>
      <w:bookmarkStart w:id="2" w:name="_Toc28359079"/>
      <w:bookmarkStart w:id="3" w:name="_Toc28359002"/>
      <w:bookmarkStart w:id="4" w:name="_Hlk24379207"/>
      <w:r>
        <w:rPr>
          <w:rFonts w:hint="eastAsia" w:ascii="宋体" w:hAnsi="宋体" w:cs="宋体"/>
          <w:color w:val="auto"/>
          <w:szCs w:val="21"/>
          <w:highlight w:val="none"/>
        </w:rPr>
        <w:t>一、项目基本情况</w:t>
      </w:r>
      <w:bookmarkEnd w:id="0"/>
      <w:bookmarkEnd w:id="1"/>
      <w:bookmarkEnd w:id="2"/>
      <w:bookmarkEnd w:id="3"/>
    </w:p>
    <w:p w14:paraId="32403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SNZX-20260201</w:t>
      </w:r>
      <w:r>
        <w:rPr>
          <w:rFonts w:hint="eastAsia" w:ascii="宋体" w:hAnsi="宋体" w:cs="宋体"/>
          <w:color w:val="auto"/>
          <w:szCs w:val="21"/>
          <w:highlight w:val="none"/>
        </w:rPr>
        <w:t xml:space="preserve"> </w:t>
      </w:r>
    </w:p>
    <w:p w14:paraId="385008D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项目名称</w:t>
      </w:r>
      <w:bookmarkEnd w:id="4"/>
      <w:r>
        <w:rPr>
          <w:rFonts w:hint="eastAsia" w:ascii="宋体" w:hAnsi="宋体" w:cs="宋体"/>
          <w:color w:val="auto"/>
          <w:szCs w:val="21"/>
          <w:highlight w:val="none"/>
        </w:rPr>
        <w:t>：南京医科大学常州校区汽车租赁服务采购项目</w:t>
      </w:r>
    </w:p>
    <w:p w14:paraId="717F75C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98</w:t>
      </w:r>
      <w:r>
        <w:rPr>
          <w:rFonts w:hint="eastAsia" w:ascii="宋体" w:hAnsi="宋体" w:cs="宋体"/>
          <w:color w:val="auto"/>
          <w:szCs w:val="21"/>
          <w:highlight w:val="none"/>
        </w:rPr>
        <w:t>万元</w:t>
      </w:r>
    </w:p>
    <w:p w14:paraId="073D446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最高限价：100%，投标报价超过最高限价或单项限价的为无效投标。</w:t>
      </w:r>
    </w:p>
    <w:tbl>
      <w:tblPr>
        <w:tblStyle w:val="5"/>
        <w:tblW w:w="4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4354"/>
      </w:tblGrid>
      <w:tr w14:paraId="1489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505" w:type="dxa"/>
            <w:vAlign w:val="center"/>
          </w:tcPr>
          <w:p w14:paraId="2D59AEB7">
            <w:pPr>
              <w:jc w:val="center"/>
              <w:rPr>
                <w:rFonts w:ascii="宋体" w:cs="方正仿宋_GBK"/>
                <w:color w:val="auto"/>
                <w:highlight w:val="none"/>
              </w:rPr>
            </w:pPr>
            <w:r>
              <w:rPr>
                <w:rFonts w:hint="eastAsia" w:ascii="宋体" w:cs="方正仿宋_GBK"/>
                <w:color w:val="auto"/>
                <w:highlight w:val="none"/>
              </w:rPr>
              <w:t>车辆类型</w:t>
            </w:r>
          </w:p>
        </w:tc>
        <w:tc>
          <w:tcPr>
            <w:tcW w:w="5094" w:type="dxa"/>
            <w:vAlign w:val="center"/>
          </w:tcPr>
          <w:p w14:paraId="1D954673">
            <w:pPr>
              <w:jc w:val="center"/>
              <w:rPr>
                <w:rFonts w:ascii="宋体" w:cs="方正仿宋_GBK"/>
                <w:b/>
                <w:bCs/>
                <w:color w:val="auto"/>
                <w:highlight w:val="none"/>
              </w:rPr>
            </w:pPr>
            <w:r>
              <w:rPr>
                <w:rFonts w:hint="eastAsia" w:ascii="宋体" w:cs="方正仿宋_GBK"/>
                <w:b/>
                <w:bCs/>
                <w:color w:val="auto"/>
                <w:highlight w:val="none"/>
                <w:lang w:eastAsia="zh-CN"/>
              </w:rPr>
              <w:t>单价</w:t>
            </w:r>
            <w:r>
              <w:rPr>
                <w:rFonts w:hint="eastAsia" w:ascii="宋体" w:cs="方正仿宋_GBK"/>
                <w:b/>
                <w:bCs/>
                <w:color w:val="auto"/>
                <w:highlight w:val="none"/>
              </w:rPr>
              <w:t>（元/趟）</w:t>
            </w:r>
          </w:p>
        </w:tc>
      </w:tr>
      <w:tr w14:paraId="1524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505" w:type="dxa"/>
            <w:vAlign w:val="center"/>
          </w:tcPr>
          <w:p w14:paraId="0F8D5F78">
            <w:pPr>
              <w:jc w:val="center"/>
              <w:rPr>
                <w:rFonts w:hint="eastAsia" w:ascii="宋体" w:cs="方正仿宋_GBK"/>
                <w:color w:val="auto"/>
                <w:highlight w:val="none"/>
              </w:rPr>
            </w:pPr>
            <w:r>
              <w:rPr>
                <w:rFonts w:hint="eastAsia" w:ascii="宋体" w:cs="方正仿宋_GBK"/>
                <w:color w:val="auto"/>
                <w:highlight w:val="none"/>
              </w:rPr>
              <w:t>小车</w:t>
            </w:r>
            <w:r>
              <w:rPr>
                <w:rFonts w:hint="eastAsia" w:ascii="宋体" w:cs="方正仿宋_GBK"/>
                <w:color w:val="auto"/>
                <w:highlight w:val="none"/>
                <w:lang w:eastAsia="zh-CN"/>
              </w:rPr>
              <w:t>（</w:t>
            </w:r>
            <w:r>
              <w:rPr>
                <w:rFonts w:hint="eastAsia" w:ascii="宋体" w:cs="方正仿宋_GBK"/>
                <w:color w:val="auto"/>
                <w:highlight w:val="none"/>
                <w:lang w:val="en-US" w:eastAsia="zh-CN"/>
              </w:rPr>
              <w:t>5座</w:t>
            </w:r>
            <w:r>
              <w:rPr>
                <w:rFonts w:hint="eastAsia" w:ascii="宋体" w:cs="方正仿宋_GBK"/>
                <w:color w:val="auto"/>
                <w:highlight w:val="none"/>
                <w:lang w:eastAsia="zh-CN"/>
              </w:rPr>
              <w:t>）</w:t>
            </w:r>
          </w:p>
        </w:tc>
        <w:tc>
          <w:tcPr>
            <w:tcW w:w="5094" w:type="dxa"/>
            <w:vAlign w:val="center"/>
          </w:tcPr>
          <w:p w14:paraId="3A12F1EF">
            <w:pPr>
              <w:jc w:val="center"/>
              <w:rPr>
                <w:rFonts w:hint="eastAsia" w:ascii="宋体" w:cs="方正仿宋_GBK"/>
                <w:b/>
                <w:bCs/>
                <w:color w:val="auto"/>
                <w:highlight w:val="none"/>
              </w:rPr>
            </w:pPr>
            <w:r>
              <w:rPr>
                <w:rFonts w:hint="eastAsia" w:ascii="宋体" w:cs="方正仿宋_GBK"/>
                <w:b/>
                <w:bCs/>
                <w:color w:val="auto"/>
                <w:highlight w:val="none"/>
              </w:rPr>
              <w:t>9</w:t>
            </w:r>
            <w:r>
              <w:rPr>
                <w:rFonts w:ascii="宋体" w:cs="方正仿宋_GBK"/>
                <w:b/>
                <w:bCs/>
                <w:color w:val="auto"/>
                <w:highlight w:val="none"/>
              </w:rPr>
              <w:t>00</w:t>
            </w:r>
          </w:p>
        </w:tc>
      </w:tr>
      <w:tr w14:paraId="1111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505" w:type="dxa"/>
            <w:vAlign w:val="center"/>
          </w:tcPr>
          <w:p w14:paraId="5E8914B9">
            <w:pPr>
              <w:jc w:val="center"/>
              <w:rPr>
                <w:rFonts w:hint="eastAsia" w:ascii="宋体" w:cs="方正仿宋_GBK"/>
                <w:color w:val="auto"/>
                <w:highlight w:val="none"/>
              </w:rPr>
            </w:pPr>
            <w:r>
              <w:rPr>
                <w:rFonts w:hint="eastAsia" w:ascii="宋体" w:cs="方正仿宋_GBK"/>
                <w:color w:val="auto"/>
                <w:highlight w:val="none"/>
              </w:rPr>
              <w:t>商务车</w:t>
            </w:r>
            <w:r>
              <w:rPr>
                <w:rFonts w:hint="eastAsia" w:ascii="宋体" w:cs="方正仿宋_GBK"/>
                <w:color w:val="auto"/>
                <w:highlight w:val="none"/>
                <w:lang w:eastAsia="zh-CN"/>
              </w:rPr>
              <w:t>（</w:t>
            </w:r>
            <w:r>
              <w:rPr>
                <w:rFonts w:hint="eastAsia" w:ascii="宋体" w:cs="方正仿宋_GBK"/>
                <w:color w:val="auto"/>
                <w:highlight w:val="none"/>
                <w:lang w:val="en-US" w:eastAsia="zh-CN"/>
              </w:rPr>
              <w:t>7座</w:t>
            </w:r>
            <w:r>
              <w:rPr>
                <w:rFonts w:hint="eastAsia" w:ascii="宋体" w:cs="方正仿宋_GBK"/>
                <w:color w:val="auto"/>
                <w:highlight w:val="none"/>
                <w:lang w:eastAsia="zh-CN"/>
              </w:rPr>
              <w:t>）</w:t>
            </w:r>
          </w:p>
        </w:tc>
        <w:tc>
          <w:tcPr>
            <w:tcW w:w="5094" w:type="dxa"/>
            <w:vAlign w:val="center"/>
          </w:tcPr>
          <w:p w14:paraId="552B50B6">
            <w:pPr>
              <w:jc w:val="center"/>
              <w:rPr>
                <w:rFonts w:hint="eastAsia" w:ascii="宋体" w:cs="方正仿宋_GBK"/>
                <w:b/>
                <w:bCs/>
                <w:color w:val="auto"/>
                <w:highlight w:val="none"/>
              </w:rPr>
            </w:pPr>
            <w:r>
              <w:rPr>
                <w:rFonts w:hint="eastAsia" w:ascii="宋体" w:cs="方正仿宋_GBK"/>
                <w:b/>
                <w:bCs/>
                <w:color w:val="auto"/>
                <w:highlight w:val="none"/>
              </w:rPr>
              <w:t>1</w:t>
            </w:r>
            <w:r>
              <w:rPr>
                <w:rFonts w:ascii="宋体" w:cs="方正仿宋_GBK"/>
                <w:b/>
                <w:bCs/>
                <w:color w:val="auto"/>
                <w:highlight w:val="none"/>
              </w:rPr>
              <w:t>000</w:t>
            </w:r>
          </w:p>
        </w:tc>
      </w:tr>
      <w:tr w14:paraId="52C1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505" w:type="dxa"/>
            <w:vAlign w:val="center"/>
          </w:tcPr>
          <w:p w14:paraId="75794064">
            <w:pPr>
              <w:jc w:val="center"/>
              <w:rPr>
                <w:rFonts w:ascii="宋体" w:cs="方正仿宋_GBK"/>
                <w:color w:val="auto"/>
                <w:highlight w:val="none"/>
              </w:rPr>
            </w:pPr>
            <w:r>
              <w:rPr>
                <w:rFonts w:hint="eastAsia" w:ascii="宋体" w:cs="方正仿宋_GBK"/>
                <w:color w:val="auto"/>
                <w:highlight w:val="none"/>
              </w:rPr>
              <w:t>考斯特或同等档次</w:t>
            </w:r>
            <w:r>
              <w:rPr>
                <w:rFonts w:hint="eastAsia" w:ascii="宋体" w:cs="方正仿宋_GBK"/>
                <w:color w:val="auto"/>
                <w:highlight w:val="none"/>
                <w:lang w:eastAsia="zh-CN"/>
              </w:rPr>
              <w:t>（</w:t>
            </w:r>
            <w:r>
              <w:rPr>
                <w:rFonts w:hint="eastAsia" w:ascii="宋体" w:cs="方正仿宋_GBK"/>
                <w:color w:val="auto"/>
                <w:highlight w:val="none"/>
                <w:lang w:val="en-US" w:eastAsia="zh-CN"/>
              </w:rPr>
              <w:t>16-20座</w:t>
            </w:r>
            <w:r>
              <w:rPr>
                <w:rFonts w:hint="eastAsia" w:ascii="宋体" w:cs="方正仿宋_GBK"/>
                <w:color w:val="auto"/>
                <w:highlight w:val="none"/>
                <w:lang w:eastAsia="zh-CN"/>
              </w:rPr>
              <w:t>）</w:t>
            </w:r>
          </w:p>
        </w:tc>
        <w:tc>
          <w:tcPr>
            <w:tcW w:w="5094" w:type="dxa"/>
            <w:vAlign w:val="center"/>
          </w:tcPr>
          <w:p w14:paraId="66BD14F2">
            <w:pPr>
              <w:jc w:val="center"/>
              <w:rPr>
                <w:rFonts w:ascii="宋体" w:cs="方正仿宋_GBK"/>
                <w:b/>
                <w:bCs/>
                <w:color w:val="auto"/>
                <w:highlight w:val="none"/>
              </w:rPr>
            </w:pPr>
            <w:r>
              <w:rPr>
                <w:rFonts w:hint="eastAsia" w:ascii="宋体" w:cs="方正仿宋_GBK"/>
                <w:b/>
                <w:bCs/>
                <w:color w:val="auto"/>
                <w:highlight w:val="none"/>
              </w:rPr>
              <w:t>1500</w:t>
            </w:r>
          </w:p>
        </w:tc>
      </w:tr>
      <w:tr w14:paraId="2FA7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505" w:type="dxa"/>
            <w:vAlign w:val="center"/>
          </w:tcPr>
          <w:p w14:paraId="096CEB07">
            <w:pPr>
              <w:jc w:val="center"/>
              <w:rPr>
                <w:rFonts w:ascii="宋体" w:cs="方正仿宋_GBK"/>
                <w:color w:val="auto"/>
                <w:highlight w:val="none"/>
              </w:rPr>
            </w:pPr>
            <w:r>
              <w:rPr>
                <w:rFonts w:hint="eastAsia" w:ascii="宋体" w:cs="方正仿宋_GBK"/>
                <w:color w:val="auto"/>
                <w:highlight w:val="none"/>
              </w:rPr>
              <w:t>宇通或同等档次（45座及以上）</w:t>
            </w:r>
          </w:p>
        </w:tc>
        <w:tc>
          <w:tcPr>
            <w:tcW w:w="5094" w:type="dxa"/>
            <w:vAlign w:val="center"/>
          </w:tcPr>
          <w:p w14:paraId="3FCF1DA9">
            <w:pPr>
              <w:jc w:val="center"/>
              <w:rPr>
                <w:rFonts w:ascii="宋体" w:cs="方正仿宋_GBK"/>
                <w:b/>
                <w:bCs/>
                <w:color w:val="auto"/>
                <w:highlight w:val="none"/>
              </w:rPr>
            </w:pPr>
            <w:r>
              <w:rPr>
                <w:rFonts w:hint="eastAsia" w:ascii="宋体" w:cs="方正仿宋_GBK"/>
                <w:b/>
                <w:bCs/>
                <w:color w:val="auto"/>
                <w:highlight w:val="none"/>
              </w:rPr>
              <w:t>1600</w:t>
            </w:r>
          </w:p>
        </w:tc>
      </w:tr>
    </w:tbl>
    <w:p w14:paraId="320E7B2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采购需求：为保障常州校区运输服务保障需求,选取1家汽车租赁服务企业作为服务供应商，为常州校区提供南京至常州往返班车通勤服务。南京往返常州一个来回按一趟计取。具体需求详见采购文件。</w:t>
      </w:r>
    </w:p>
    <w:p w14:paraId="04912322">
      <w:pPr>
        <w:spacing w:before="145" w:after="145"/>
        <w:jc w:val="left"/>
        <w:outlineLvl w:val="1"/>
        <w:rPr>
          <w:rFonts w:ascii="宋体" w:hAnsi="宋体" w:cs="宋体"/>
          <w:color w:val="auto"/>
          <w:szCs w:val="21"/>
          <w:highlight w:val="none"/>
        </w:rPr>
      </w:pPr>
      <w:r>
        <w:rPr>
          <w:rFonts w:hint="eastAsia" w:ascii="宋体" w:hAnsi="宋体" w:cs="宋体"/>
          <w:color w:val="auto"/>
          <w:szCs w:val="21"/>
          <w:highlight w:val="none"/>
        </w:rPr>
        <w:t>合同履行期限（服务期）：</w:t>
      </w:r>
      <w:bookmarkStart w:id="5" w:name="_Toc35393622"/>
      <w:bookmarkStart w:id="6" w:name="_Toc35393791"/>
      <w:bookmarkStart w:id="7" w:name="_Toc28359080"/>
      <w:bookmarkStart w:id="8" w:name="_Toc28359003"/>
      <w:r>
        <w:rPr>
          <w:rFonts w:hint="eastAsia" w:ascii="宋体" w:hAnsi="宋体" w:cs="宋体"/>
          <w:color w:val="auto"/>
          <w:szCs w:val="21"/>
          <w:highlight w:val="none"/>
        </w:rPr>
        <w:t>自</w:t>
      </w:r>
      <w:r>
        <w:rPr>
          <w:rFonts w:hint="eastAsia" w:ascii="宋体" w:hAnsi="宋体" w:cs="宋体"/>
          <w:color w:val="auto"/>
          <w:szCs w:val="21"/>
          <w:highlight w:val="none"/>
          <w:lang w:val="en-US" w:eastAsia="zh-CN"/>
        </w:rPr>
        <w:t>2026年9月1日起至2027年8月31日止</w:t>
      </w:r>
      <w:r>
        <w:rPr>
          <w:rFonts w:hint="eastAsia" w:ascii="宋体" w:hAnsi="宋体" w:cs="宋体"/>
          <w:color w:val="auto"/>
          <w:szCs w:val="21"/>
          <w:highlight w:val="none"/>
        </w:rPr>
        <w:t>。</w:t>
      </w:r>
    </w:p>
    <w:p w14:paraId="2D467A09">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color w:val="auto"/>
          <w:szCs w:val="21"/>
          <w:highlight w:val="none"/>
        </w:rPr>
        <w:t>本项目</w:t>
      </w:r>
      <w:r>
        <w:rPr>
          <w:rFonts w:hint="eastAsia" w:ascii="宋体" w:hAnsi="宋体" w:cs="宋体"/>
          <w:b w:val="0"/>
          <w:bCs w:val="0"/>
          <w:color w:val="auto"/>
          <w:szCs w:val="21"/>
          <w:highlight w:val="none"/>
        </w:rPr>
        <w:t>不接受联合体投标。</w:t>
      </w:r>
    </w:p>
    <w:bookmarkEnd w:id="5"/>
    <w:bookmarkEnd w:id="6"/>
    <w:bookmarkEnd w:id="7"/>
    <w:bookmarkEnd w:id="8"/>
    <w:p w14:paraId="4BB91085">
      <w:pPr>
        <w:spacing w:line="360" w:lineRule="auto"/>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二、申请人的资格要求：</w:t>
      </w:r>
    </w:p>
    <w:p w14:paraId="4A8B4AF9">
      <w:pPr>
        <w:spacing w:line="360" w:lineRule="auto"/>
        <w:ind w:firstLine="420" w:firstLineChars="200"/>
        <w:jc w:val="left"/>
        <w:rPr>
          <w:rFonts w:ascii="宋体" w:hAnsi="宋体" w:cs="宋体"/>
          <w:b w:val="0"/>
          <w:bCs w:val="0"/>
          <w:color w:val="auto"/>
          <w:szCs w:val="21"/>
          <w:highlight w:val="none"/>
        </w:rPr>
      </w:pPr>
      <w:bookmarkStart w:id="9" w:name="_Toc35393792"/>
      <w:bookmarkStart w:id="10" w:name="_Toc28359005"/>
      <w:bookmarkStart w:id="11" w:name="_Toc28359082"/>
      <w:bookmarkStart w:id="12" w:name="_Toc35393623"/>
      <w:bookmarkStart w:id="13" w:name="_Toc35393624"/>
      <w:bookmarkStart w:id="14" w:name="_Toc35393793"/>
      <w:r>
        <w:rPr>
          <w:rFonts w:hint="eastAsia" w:ascii="宋体" w:hAnsi="宋体" w:cs="宋体"/>
          <w:b w:val="0"/>
          <w:bCs w:val="0"/>
          <w:color w:val="auto"/>
          <w:szCs w:val="21"/>
          <w:highlight w:val="none"/>
        </w:rPr>
        <w:t>（一）满足《中华人民共和国政府采购法》第二十二条规定；</w:t>
      </w:r>
    </w:p>
    <w:p w14:paraId="03431CE4">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1.具有独立承担民事责任的能力（提供法人或者其他组织的营业执照；供应商为自然人的提供其身份证，提供相关证明材料复印件并加盖公章）；</w:t>
      </w:r>
    </w:p>
    <w:p w14:paraId="7F404F7E">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cs="宋体"/>
          <w:b w:val="0"/>
          <w:bCs w:val="0"/>
          <w:color w:val="auto"/>
          <w:szCs w:val="21"/>
          <w:highlight w:val="none"/>
        </w:rPr>
        <w:t>；</w:t>
      </w:r>
    </w:p>
    <w:p w14:paraId="3F965D21">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3.具有履行合同所必需的设备和专业技术能力（</w:t>
      </w:r>
      <w:r>
        <w:rPr>
          <w:rFonts w:hint="eastAsia" w:ascii="宋体" w:hAnsi="宋体" w:cs="宋体"/>
          <w:b w:val="0"/>
          <w:bCs w:val="0"/>
          <w:color w:val="auto"/>
          <w:szCs w:val="21"/>
          <w:highlight w:val="none"/>
          <w:lang w:eastAsia="zh-CN"/>
        </w:rPr>
        <w:t>供应商</w:t>
      </w:r>
      <w:r>
        <w:rPr>
          <w:rFonts w:hint="eastAsia" w:ascii="宋体" w:hAnsi="宋体" w:cs="宋体"/>
          <w:b w:val="0"/>
          <w:bCs w:val="0"/>
          <w:color w:val="auto"/>
          <w:szCs w:val="21"/>
          <w:highlight w:val="none"/>
        </w:rPr>
        <w:t>根据履行采购项目合同需要，提供履行合同所必需的设备和专业技术能力的证明材料，提供相关证明材料复印件并加盖公章或承诺书原件）；</w:t>
      </w:r>
    </w:p>
    <w:p w14:paraId="0026682E">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有依法缴纳税收和社会保障资金的良好记录（提供投标截止时间前六个月内任意一个月的纳税证明文件（依法免缴的应提供相应文件说明），并提供投标截止时间前六个月内任意一个月的依法为员工缴纳社会保障资金的证明材料（依法不需要缴纳社会保障资金的应提供相应文件说明））；</w:t>
      </w:r>
    </w:p>
    <w:p w14:paraId="6CDBDEAB">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5.参加政府采购活动前三年内，在经营活动中没有重大违法记录（提供承诺书原件）；</w:t>
      </w:r>
    </w:p>
    <w:p w14:paraId="7E15278E">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6.法律、行政法规规定的其他条件，提供相关证明材料：无。</w:t>
      </w:r>
    </w:p>
    <w:p w14:paraId="69954518">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7.注:①前款第（5）项中所称重大违法记录，是指</w:t>
      </w:r>
      <w:r>
        <w:rPr>
          <w:rFonts w:hint="eastAsia" w:ascii="宋体" w:hAnsi="宋体" w:cs="宋体"/>
          <w:b w:val="0"/>
          <w:bCs w:val="0"/>
          <w:color w:val="auto"/>
          <w:szCs w:val="21"/>
          <w:highlight w:val="none"/>
          <w:lang w:eastAsia="zh-CN"/>
        </w:rPr>
        <w:t>供应商</w:t>
      </w:r>
      <w:r>
        <w:rPr>
          <w:rFonts w:hint="eastAsia" w:ascii="宋体" w:hAnsi="宋体" w:cs="宋体"/>
          <w:b w:val="0"/>
          <w:bCs w:val="0"/>
          <w:color w:val="auto"/>
          <w:szCs w:val="21"/>
          <w:highlight w:val="none"/>
        </w:rPr>
        <w:t>因违法经营受到刑事处罚或者责令停产停业、吊销许可证或者执照、较大数额罚款等行政处罚。</w:t>
      </w:r>
    </w:p>
    <w:p w14:paraId="31D06D77">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②</w:t>
      </w:r>
      <w:r>
        <w:rPr>
          <w:rFonts w:hint="eastAsia" w:ascii="宋体" w:hAnsi="宋体" w:cs="宋体"/>
          <w:b w:val="0"/>
          <w:bCs w:val="0"/>
          <w:color w:val="auto"/>
          <w:szCs w:val="21"/>
          <w:highlight w:val="none"/>
          <w:lang w:eastAsia="zh-CN"/>
        </w:rPr>
        <w:t>供应商</w:t>
      </w:r>
      <w:r>
        <w:rPr>
          <w:rFonts w:hint="eastAsia" w:ascii="宋体" w:hAnsi="宋体" w:cs="宋体"/>
          <w:b w:val="0"/>
          <w:bCs w:val="0"/>
          <w:color w:val="auto"/>
          <w:szCs w:val="21"/>
          <w:highlight w:val="none"/>
        </w:rPr>
        <w:t>在参加政府采购活动前3年内因违法经营被禁止在一定期限内参加政府采购活动，期限届满的，可以参加政府采购活动。</w:t>
      </w:r>
    </w:p>
    <w:p w14:paraId="129301FF">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（二）落实政府采购政策需满足的资格要求：如为中小微型企业、监狱企业、残疾人福利性单位，提供的产品为国家认定的节能产品和环保产品的须按要求提供相关材料。</w:t>
      </w:r>
    </w:p>
    <w:p w14:paraId="09B2E42B">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（三）本项目的特定资格要求：供应商具备有效的《道路运输经营许可证》，经营范围包含市区包车客运（含）、市际包车客运（含）以上范围。（提供《道路运输经营许可证》复印件加盖公章）。</w:t>
      </w:r>
    </w:p>
    <w:p w14:paraId="187EE8C3">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（四）本项目不接受转包、分包。</w:t>
      </w:r>
    </w:p>
    <w:p w14:paraId="0535F73E">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（五）拒绝下述供应商参加本次采购活动：</w:t>
      </w:r>
    </w:p>
    <w:p w14:paraId="68D309A3">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1.供应商单位负责人为同一人或者存在直接控股、管理关系的不同供应商，不得参加同一合同项下的采购活动。</w:t>
      </w:r>
    </w:p>
    <w:p w14:paraId="0542CACF">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2.凡为采购项目提供整体设计、规范编制或者项目管理、监理、检测等服务的供应商，不得再参加本项目的采购活动。</w:t>
      </w:r>
    </w:p>
    <w:p w14:paraId="3C482827">
      <w:pPr>
        <w:spacing w:line="360" w:lineRule="auto"/>
        <w:ind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0D2A40B1">
      <w:pPr>
        <w:pStyle w:val="7"/>
        <w:tabs>
          <w:tab w:val="left" w:pos="1640"/>
        </w:tabs>
        <w:spacing w:line="360" w:lineRule="exact"/>
        <w:ind w:left="0" w:right="677" w:firstLine="0"/>
        <w:rPr>
          <w:rFonts w:hint="eastAsia"/>
          <w:b w:val="0"/>
          <w:bCs w:val="0"/>
          <w:color w:val="auto"/>
          <w:sz w:val="21"/>
          <w:szCs w:val="21"/>
          <w:highlight w:val="none"/>
        </w:rPr>
      </w:pPr>
      <w:r>
        <w:rPr>
          <w:rFonts w:hint="eastAsia"/>
          <w:b w:val="0"/>
          <w:bCs w:val="0"/>
          <w:color w:val="auto"/>
          <w:sz w:val="21"/>
          <w:szCs w:val="21"/>
          <w:highlight w:val="none"/>
        </w:rPr>
        <w:t>三、获取招标文件</w:t>
      </w:r>
    </w:p>
    <w:p w14:paraId="71E9442A">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Cs w:val="21"/>
          <w:highlight w:val="none"/>
          <w:lang w:val="en-US" w:eastAsia="zh-CN"/>
        </w:rPr>
        <w:t>获取时间：</w:t>
      </w:r>
      <w:r>
        <w:rPr>
          <w:rFonts w:hint="eastAsia" w:ascii="宋体" w:hAnsi="宋体" w:cs="宋体"/>
          <w:b w:val="0"/>
          <w:bCs w:val="0"/>
          <w:color w:val="auto"/>
          <w:szCs w:val="21"/>
          <w:highlight w:val="none"/>
        </w:rPr>
        <w:t>2026年</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月</w:t>
      </w:r>
      <w:r>
        <w:rPr>
          <w:rFonts w:hint="eastAsia" w:ascii="宋体" w:hAnsi="宋体" w:cs="宋体"/>
          <w:b w:val="0"/>
          <w:bCs w:val="0"/>
          <w:color w:val="auto"/>
          <w:szCs w:val="21"/>
          <w:highlight w:val="none"/>
          <w:lang w:val="en-US" w:eastAsia="zh-CN"/>
        </w:rPr>
        <w:t>22</w:t>
      </w:r>
      <w:r>
        <w:rPr>
          <w:rFonts w:hint="eastAsia" w:ascii="宋体" w:hAnsi="宋体" w:cs="宋体"/>
          <w:b w:val="0"/>
          <w:bCs w:val="0"/>
          <w:color w:val="auto"/>
          <w:szCs w:val="21"/>
          <w:highlight w:val="none"/>
        </w:rPr>
        <w:t>日至2026年</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月</w:t>
      </w:r>
      <w:r>
        <w:rPr>
          <w:rFonts w:hint="eastAsia" w:ascii="宋体" w:hAnsi="宋体" w:cs="宋体"/>
          <w:b w:val="0"/>
          <w:bCs w:val="0"/>
          <w:color w:val="auto"/>
          <w:szCs w:val="21"/>
          <w:highlight w:val="none"/>
          <w:lang w:val="en-US" w:eastAsia="zh-CN"/>
        </w:rPr>
        <w:t>26</w:t>
      </w:r>
      <w:r>
        <w:rPr>
          <w:rFonts w:hint="eastAsia" w:ascii="宋体" w:hAnsi="宋体" w:cs="宋体"/>
          <w:b w:val="0"/>
          <w:bCs w:val="0"/>
          <w:color w:val="auto"/>
          <w:szCs w:val="21"/>
          <w:highlight w:val="none"/>
        </w:rPr>
        <w:t>日，每天上午9:00至11:30，下午14:00至17:00（北京时间，法定节假日除外）</w:t>
      </w:r>
    </w:p>
    <w:p w14:paraId="168256AD">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获取方式：网址为：https://njsnzx.cn/#/detail?id=3141；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D6A552A">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未按照上述要求合法获取招标（采购）文件的，招标（采购）人将不予受理其投标（响应）。</w:t>
      </w:r>
    </w:p>
    <w:p w14:paraId="58F0893D">
      <w:pPr>
        <w:spacing w:line="360" w:lineRule="auto"/>
        <w:ind w:firstLine="420" w:firstLineChars="200"/>
        <w:jc w:val="left"/>
        <w:rPr>
          <w:rFonts w:hint="eastAsia" w:ascii="宋体" w:hAnsi="宋体" w:cs="黑体"/>
          <w:b w:val="0"/>
          <w:bCs w:val="0"/>
          <w:color w:val="auto"/>
          <w:szCs w:val="21"/>
          <w:highlight w:val="none"/>
        </w:rPr>
      </w:pPr>
      <w:r>
        <w:rPr>
          <w:rFonts w:hint="eastAsia" w:ascii="宋体" w:hAnsi="宋体" w:cs="宋体"/>
          <w:b w:val="0"/>
          <w:bCs w:val="0"/>
          <w:color w:val="auto"/>
          <w:szCs w:val="21"/>
          <w:highlight w:val="none"/>
        </w:rPr>
        <w:t>售价：￥500元，本公告包含的招标文件售价总和。</w:t>
      </w:r>
    </w:p>
    <w:p w14:paraId="6A193D24">
      <w:pPr>
        <w:pStyle w:val="7"/>
        <w:tabs>
          <w:tab w:val="left" w:pos="1640"/>
        </w:tabs>
        <w:spacing w:line="360" w:lineRule="exact"/>
        <w:ind w:left="0" w:right="677" w:firstLine="0"/>
        <w:rPr>
          <w:rFonts w:hint="eastAsia"/>
          <w:b w:val="0"/>
          <w:bCs w:val="0"/>
          <w:color w:val="auto"/>
          <w:sz w:val="21"/>
          <w:szCs w:val="21"/>
          <w:highlight w:val="none"/>
        </w:rPr>
      </w:pPr>
      <w:r>
        <w:rPr>
          <w:rFonts w:hint="eastAsia"/>
          <w:b w:val="0"/>
          <w:bCs w:val="0"/>
          <w:color w:val="auto"/>
          <w:sz w:val="21"/>
          <w:szCs w:val="21"/>
          <w:highlight w:val="none"/>
        </w:rPr>
        <w:t>四、提交投标文件截止时间、开标时间和地点</w:t>
      </w:r>
    </w:p>
    <w:p w14:paraId="6583D4E9">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投标文件接收截止时间（开标时间）：</w:t>
      </w:r>
      <w:r>
        <w:rPr>
          <w:rFonts w:hint="eastAsia"/>
          <w:b w:val="0"/>
          <w:bCs w:val="0"/>
          <w:color w:val="auto"/>
          <w:sz w:val="21"/>
          <w:szCs w:val="21"/>
          <w:highlight w:val="none"/>
          <w:u w:val="single"/>
        </w:rPr>
        <w:t>202</w:t>
      </w:r>
      <w:r>
        <w:rPr>
          <w:rFonts w:hint="eastAsia"/>
          <w:b w:val="0"/>
          <w:bCs w:val="0"/>
          <w:color w:val="auto"/>
          <w:sz w:val="21"/>
          <w:szCs w:val="21"/>
          <w:highlight w:val="none"/>
          <w:u w:val="single"/>
          <w:lang w:val="en-US" w:eastAsia="zh-CN"/>
        </w:rPr>
        <w:t>6</w:t>
      </w:r>
      <w:r>
        <w:rPr>
          <w:rFonts w:hint="eastAsia"/>
          <w:b w:val="0"/>
          <w:bCs w:val="0"/>
          <w:color w:val="auto"/>
          <w:sz w:val="21"/>
          <w:szCs w:val="21"/>
          <w:highlight w:val="none"/>
          <w:u w:val="single"/>
        </w:rPr>
        <w:t>年</w:t>
      </w:r>
      <w:r>
        <w:rPr>
          <w:rFonts w:hint="eastAsia"/>
          <w:b w:val="0"/>
          <w:bCs w:val="0"/>
          <w:color w:val="auto"/>
          <w:sz w:val="21"/>
          <w:szCs w:val="21"/>
          <w:highlight w:val="none"/>
          <w:u w:val="single"/>
          <w:lang w:val="en-US" w:eastAsia="zh-CN"/>
        </w:rPr>
        <w:t>7</w:t>
      </w:r>
      <w:r>
        <w:rPr>
          <w:rFonts w:hint="eastAsia"/>
          <w:b w:val="0"/>
          <w:bCs w:val="0"/>
          <w:color w:val="auto"/>
          <w:sz w:val="21"/>
          <w:szCs w:val="21"/>
          <w:highlight w:val="none"/>
          <w:u w:val="single"/>
        </w:rPr>
        <w:t>月</w:t>
      </w:r>
      <w:r>
        <w:rPr>
          <w:rFonts w:hint="eastAsia"/>
          <w:b w:val="0"/>
          <w:bCs w:val="0"/>
          <w:color w:val="auto"/>
          <w:sz w:val="21"/>
          <w:szCs w:val="21"/>
          <w:highlight w:val="none"/>
          <w:u w:val="single"/>
          <w:lang w:val="en-US" w:eastAsia="zh-CN"/>
        </w:rPr>
        <w:t>14</w:t>
      </w:r>
      <w:r>
        <w:rPr>
          <w:rFonts w:hint="eastAsia"/>
          <w:b w:val="0"/>
          <w:bCs w:val="0"/>
          <w:color w:val="auto"/>
          <w:sz w:val="21"/>
          <w:szCs w:val="21"/>
          <w:highlight w:val="none"/>
          <w:u w:val="single"/>
        </w:rPr>
        <w:t>日</w:t>
      </w:r>
      <w:r>
        <w:rPr>
          <w:rFonts w:hint="eastAsia"/>
          <w:b w:val="0"/>
          <w:bCs w:val="0"/>
          <w:color w:val="auto"/>
          <w:sz w:val="21"/>
          <w:szCs w:val="21"/>
          <w:highlight w:val="none"/>
          <w:u w:val="single"/>
          <w:lang w:val="en-US" w:eastAsia="zh-CN"/>
        </w:rPr>
        <w:t>09</w:t>
      </w:r>
      <w:r>
        <w:rPr>
          <w:rFonts w:hint="eastAsia"/>
          <w:b w:val="0"/>
          <w:bCs w:val="0"/>
          <w:color w:val="auto"/>
          <w:sz w:val="21"/>
          <w:szCs w:val="21"/>
          <w:highlight w:val="none"/>
          <w:u w:val="single"/>
        </w:rPr>
        <w:t>点</w:t>
      </w:r>
      <w:r>
        <w:rPr>
          <w:rFonts w:hint="eastAsia"/>
          <w:b w:val="0"/>
          <w:bCs w:val="0"/>
          <w:color w:val="auto"/>
          <w:sz w:val="21"/>
          <w:szCs w:val="21"/>
          <w:highlight w:val="none"/>
          <w:u w:val="single"/>
          <w:lang w:val="en-US" w:eastAsia="zh-CN"/>
        </w:rPr>
        <w:t>30</w:t>
      </w:r>
      <w:r>
        <w:rPr>
          <w:rFonts w:hint="eastAsia"/>
          <w:b w:val="0"/>
          <w:bCs w:val="0"/>
          <w:color w:val="auto"/>
          <w:sz w:val="21"/>
          <w:szCs w:val="21"/>
          <w:highlight w:val="none"/>
          <w:u w:val="single"/>
        </w:rPr>
        <w:t>分</w:t>
      </w:r>
      <w:r>
        <w:rPr>
          <w:rFonts w:hint="eastAsia"/>
          <w:b w:val="0"/>
          <w:bCs w:val="0"/>
          <w:color w:val="auto"/>
          <w:sz w:val="21"/>
          <w:szCs w:val="21"/>
          <w:highlight w:val="none"/>
        </w:rPr>
        <w:t>（北京时间）</w:t>
      </w:r>
    </w:p>
    <w:p w14:paraId="4CAA54CC">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投标文件接收地点：</w:t>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AUTOTEXT  input103 \* MERGEFORMAT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南京市中山路99号12楼1212室</w:t>
      </w:r>
      <w:r>
        <w:rPr>
          <w:rFonts w:hint="eastAsia"/>
          <w:b w:val="0"/>
          <w:bCs w:val="0"/>
          <w:color w:val="auto"/>
          <w:sz w:val="21"/>
          <w:szCs w:val="21"/>
          <w:highlight w:val="none"/>
        </w:rPr>
        <w:fldChar w:fldCharType="end"/>
      </w:r>
    </w:p>
    <w:p w14:paraId="187EC56F">
      <w:pPr>
        <w:pStyle w:val="8"/>
        <w:spacing w:line="360" w:lineRule="exact"/>
        <w:ind w:left="0" w:right="1279"/>
        <w:jc w:val="both"/>
        <w:rPr>
          <w:rFonts w:hint="eastAsia"/>
          <w:b w:val="0"/>
          <w:bCs w:val="0"/>
          <w:color w:val="auto"/>
          <w:highlight w:val="none"/>
        </w:rPr>
      </w:pPr>
      <w:r>
        <w:rPr>
          <w:rFonts w:hint="eastAsia"/>
          <w:b w:val="0"/>
          <w:bCs w:val="0"/>
          <w:color w:val="auto"/>
          <w:highlight w:val="none"/>
        </w:rPr>
        <w:t>五、公告期限</w:t>
      </w:r>
    </w:p>
    <w:p w14:paraId="379C9CA2">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自本公告发布之日起5个工作日。</w:t>
      </w:r>
    </w:p>
    <w:p w14:paraId="3AEACD5E">
      <w:pPr>
        <w:pStyle w:val="8"/>
        <w:spacing w:line="360" w:lineRule="exact"/>
        <w:ind w:left="0" w:right="1279"/>
        <w:jc w:val="both"/>
        <w:rPr>
          <w:rFonts w:hint="eastAsia"/>
          <w:b w:val="0"/>
          <w:bCs w:val="0"/>
          <w:color w:val="auto"/>
          <w:highlight w:val="none"/>
        </w:rPr>
      </w:pPr>
      <w:r>
        <w:rPr>
          <w:rFonts w:hint="eastAsia"/>
          <w:b w:val="0"/>
          <w:bCs w:val="0"/>
          <w:color w:val="auto"/>
          <w:highlight w:val="none"/>
        </w:rPr>
        <w:t>六、其他补充事宜</w:t>
      </w:r>
    </w:p>
    <w:p w14:paraId="4F07D58E">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1.本项目标的所属行业：其他未列明行业。</w:t>
      </w:r>
    </w:p>
    <w:p w14:paraId="6BA5E669">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2.本项目（是/否）专门面向中小企业：否。</w:t>
      </w:r>
    </w:p>
    <w:p w14:paraId="745A7B0D">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3.本项目中标后（是/否）允许转包、分包：否。</w:t>
      </w:r>
    </w:p>
    <w:p w14:paraId="194AAE66">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4.投标人应当从采购代理机构合法获得采购项目的招标文件。</w:t>
      </w:r>
    </w:p>
    <w:p w14:paraId="34B98380">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5.公告发布媒体</w:t>
      </w:r>
    </w:p>
    <w:p w14:paraId="6E91CA4E">
      <w:pPr>
        <w:spacing w:line="3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（1）本采购公告在南京医科大学（https://sjfwc.njmu.edu.cn/zbgg/list.htm）公示发布，敬请各投标人关注；</w:t>
      </w:r>
    </w:p>
    <w:p w14:paraId="762ECE49">
      <w:pPr>
        <w:spacing w:line="3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（2）若有关本次采购存在变动或修改，敬请各投标人及时关注南京医科大学（https://sjfwc.njmu.edu.cn/zbgg/list.htm）发布的关于本项目的信息更正公告。</w:t>
      </w:r>
    </w:p>
    <w:p w14:paraId="68A63E12">
      <w:pPr>
        <w:spacing w:line="360" w:lineRule="exact"/>
        <w:ind w:firstLine="420" w:firstLineChars="200"/>
        <w:rPr>
          <w:rFonts w:hint="eastAsia"/>
          <w:b w:val="0"/>
          <w:bCs w:val="0"/>
          <w:color w:val="auto"/>
          <w:sz w:val="21"/>
          <w:szCs w:val="21"/>
          <w:highlight w:val="none"/>
        </w:rPr>
      </w:pPr>
      <w:r>
        <w:rPr>
          <w:rFonts w:hint="eastAsia"/>
          <w:b w:val="0"/>
          <w:bCs w:val="0"/>
          <w:color w:val="auto"/>
          <w:sz w:val="21"/>
          <w:szCs w:val="21"/>
          <w:highlight w:val="none"/>
        </w:rPr>
        <w:t>6.集中考察或答疑：</w:t>
      </w:r>
    </w:p>
    <w:p w14:paraId="3D4F020F">
      <w:pPr>
        <w:spacing w:line="360" w:lineRule="exact"/>
        <w:ind w:firstLine="420" w:firstLineChars="200"/>
        <w:rPr>
          <w:rFonts w:hint="eastAsia"/>
          <w:color w:val="auto"/>
          <w:sz w:val="21"/>
          <w:szCs w:val="21"/>
          <w:highlight w:val="none"/>
        </w:rPr>
      </w:pPr>
      <w:r>
        <w:rPr>
          <w:rFonts w:hint="eastAsia"/>
          <w:b w:val="0"/>
          <w:bCs w:val="0"/>
          <w:color w:val="auto"/>
          <w:sz w:val="21"/>
          <w:szCs w:val="21"/>
          <w:highlight w:val="none"/>
        </w:rPr>
        <w:t>采购人不组织，投标人可自行联系采</w:t>
      </w:r>
      <w:r>
        <w:rPr>
          <w:rFonts w:hint="eastAsia"/>
          <w:color w:val="auto"/>
          <w:sz w:val="21"/>
          <w:szCs w:val="21"/>
          <w:highlight w:val="none"/>
        </w:rPr>
        <w:t>购人。未踏勘现场或踏勘工作不详细的投标人中标后，不得以不完全了解现场情况为理由而向采购人提出任何索赔或其他要求，对此采购人不承担任何责任并将不作任何答复。</w:t>
      </w:r>
    </w:p>
    <w:p w14:paraId="65F9958C">
      <w:pPr>
        <w:spacing w:line="360" w:lineRule="exact"/>
        <w:ind w:firstLine="420" w:firstLineChars="200"/>
        <w:rPr>
          <w:rFonts w:hint="eastAsia"/>
          <w:color w:val="auto"/>
          <w:sz w:val="21"/>
          <w:szCs w:val="21"/>
          <w:highlight w:val="none"/>
        </w:rPr>
      </w:pPr>
      <w:r>
        <w:rPr>
          <w:rFonts w:hint="eastAsia"/>
          <w:color w:val="auto"/>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7D378E2">
      <w:pPr>
        <w:spacing w:line="360" w:lineRule="exact"/>
        <w:ind w:firstLine="420" w:firstLineChars="200"/>
        <w:rPr>
          <w:rFonts w:hint="eastAsia"/>
          <w:color w:val="auto"/>
          <w:sz w:val="21"/>
          <w:szCs w:val="21"/>
          <w:highlight w:val="none"/>
        </w:rPr>
      </w:pPr>
      <w:r>
        <w:rPr>
          <w:rFonts w:hint="eastAsia"/>
          <w:color w:val="auto"/>
          <w:sz w:val="21"/>
          <w:szCs w:val="21"/>
          <w:highlight w:val="none"/>
        </w:rPr>
        <w:t xml:space="preserve">8.采购项目需要落实的政府采购政策： </w:t>
      </w:r>
    </w:p>
    <w:p w14:paraId="4B267C6F">
      <w:pPr>
        <w:spacing w:line="360" w:lineRule="exact"/>
        <w:ind w:firstLine="420" w:firstLineChars="200"/>
        <w:rPr>
          <w:rFonts w:hint="eastAsia"/>
          <w:color w:val="auto"/>
          <w:sz w:val="21"/>
          <w:szCs w:val="21"/>
          <w:highlight w:val="none"/>
        </w:rPr>
      </w:pPr>
      <w:r>
        <w:rPr>
          <w:rFonts w:hint="eastAsia"/>
          <w:color w:val="auto"/>
          <w:sz w:val="21"/>
          <w:szCs w:val="21"/>
          <w:highlight w:val="none"/>
        </w:rPr>
        <w:t>（1）政府采购促进中小企业发展</w:t>
      </w:r>
    </w:p>
    <w:p w14:paraId="578D09A0">
      <w:pPr>
        <w:spacing w:line="360" w:lineRule="exact"/>
        <w:ind w:firstLine="420" w:firstLineChars="200"/>
        <w:rPr>
          <w:rFonts w:hint="eastAsia"/>
          <w:color w:val="auto"/>
          <w:sz w:val="21"/>
          <w:szCs w:val="21"/>
          <w:highlight w:val="none"/>
        </w:rPr>
      </w:pPr>
      <w:r>
        <w:rPr>
          <w:rFonts w:hint="eastAsia"/>
          <w:color w:val="auto"/>
          <w:sz w:val="21"/>
          <w:szCs w:val="21"/>
          <w:highlight w:val="none"/>
        </w:rPr>
        <w:t>（2）政府采购支持监狱企业发展</w:t>
      </w:r>
    </w:p>
    <w:p w14:paraId="65186717">
      <w:pPr>
        <w:spacing w:line="360" w:lineRule="exact"/>
        <w:ind w:firstLine="420" w:firstLineChars="200"/>
        <w:rPr>
          <w:rFonts w:hint="eastAsia"/>
          <w:color w:val="auto"/>
          <w:sz w:val="21"/>
          <w:szCs w:val="21"/>
          <w:highlight w:val="none"/>
        </w:rPr>
      </w:pPr>
      <w:r>
        <w:rPr>
          <w:rFonts w:hint="eastAsia"/>
          <w:color w:val="auto"/>
          <w:sz w:val="21"/>
          <w:szCs w:val="21"/>
          <w:highlight w:val="none"/>
        </w:rPr>
        <w:t>（3）政府采购促进残疾人就业</w:t>
      </w:r>
    </w:p>
    <w:p w14:paraId="1CBFBF3D">
      <w:pPr>
        <w:spacing w:line="360" w:lineRule="exact"/>
        <w:ind w:firstLine="420" w:firstLineChars="200"/>
        <w:rPr>
          <w:rFonts w:hint="eastAsia"/>
          <w:color w:val="auto"/>
          <w:sz w:val="21"/>
          <w:szCs w:val="21"/>
          <w:highlight w:val="none"/>
        </w:rPr>
      </w:pPr>
      <w:r>
        <w:rPr>
          <w:rFonts w:hint="eastAsia"/>
          <w:color w:val="auto"/>
          <w:sz w:val="21"/>
          <w:szCs w:val="21"/>
          <w:highlight w:val="none"/>
        </w:rPr>
        <w:t>（4）政府采购鼓励采购节能环保产品</w:t>
      </w:r>
    </w:p>
    <w:bookmarkEnd w:id="9"/>
    <w:bookmarkEnd w:id="10"/>
    <w:bookmarkEnd w:id="11"/>
    <w:bookmarkEnd w:id="12"/>
    <w:bookmarkEnd w:id="13"/>
    <w:bookmarkEnd w:id="14"/>
    <w:p w14:paraId="0CDEF992">
      <w:pPr>
        <w:spacing w:line="360" w:lineRule="auto"/>
        <w:jc w:val="left"/>
        <w:rPr>
          <w:rFonts w:ascii="宋体" w:hAnsi="宋体" w:cs="宋体"/>
          <w:color w:val="auto"/>
          <w:szCs w:val="21"/>
          <w:highlight w:val="none"/>
        </w:rPr>
      </w:pPr>
      <w:bookmarkStart w:id="15" w:name="_Toc28359085"/>
      <w:bookmarkStart w:id="16" w:name="_Toc35393627"/>
      <w:bookmarkStart w:id="17" w:name="_Toc28359008"/>
      <w:bookmarkStart w:id="18" w:name="_Toc35393796"/>
      <w:r>
        <w:rPr>
          <w:rFonts w:hint="eastAsia" w:ascii="宋体" w:hAnsi="宋体" w:cs="宋体"/>
          <w:color w:val="auto"/>
          <w:szCs w:val="21"/>
          <w:highlight w:val="none"/>
        </w:rPr>
        <w:t>七、对本次招标提出询问，请按以下方式联系。</w:t>
      </w:r>
      <w:bookmarkEnd w:id="15"/>
      <w:bookmarkEnd w:id="16"/>
      <w:bookmarkEnd w:id="17"/>
      <w:bookmarkEnd w:id="18"/>
    </w:p>
    <w:p w14:paraId="2E4A75B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AE40212">
      <w:pPr>
        <w:spacing w:line="360" w:lineRule="auto"/>
        <w:ind w:firstLine="420" w:firstLineChars="200"/>
        <w:jc w:val="left"/>
        <w:rPr>
          <w:rFonts w:ascii="宋体" w:hAnsi="宋体" w:cs="宋体"/>
          <w:color w:val="auto"/>
          <w:szCs w:val="21"/>
          <w:highlight w:val="none"/>
        </w:rPr>
      </w:pPr>
      <w:bookmarkStart w:id="19" w:name="_Toc28359086"/>
      <w:bookmarkStart w:id="20" w:name="_Toc28359009"/>
      <w:r>
        <w:rPr>
          <w:rFonts w:hint="eastAsia" w:ascii="宋体" w:hAnsi="宋体" w:cs="宋体"/>
          <w:color w:val="auto"/>
          <w:szCs w:val="21"/>
          <w:highlight w:val="none"/>
        </w:rPr>
        <w:t>单位名称：南京医科大学</w:t>
      </w:r>
    </w:p>
    <w:p w14:paraId="56A60898">
      <w:pPr>
        <w:spacing w:line="360" w:lineRule="auto"/>
        <w:ind w:firstLine="452" w:firstLineChars="200"/>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单位地址：</w:t>
      </w:r>
      <w:r>
        <w:rPr>
          <w:rFonts w:hint="eastAsia" w:ascii="宋体" w:hAnsi="宋体" w:cs="宋体"/>
          <w:color w:val="auto"/>
          <w:spacing w:val="8"/>
          <w:kern w:val="0"/>
          <w:szCs w:val="21"/>
          <w:highlight w:val="none"/>
          <w:shd w:val="clear" w:color="auto" w:fill="FFFFFF"/>
        </w:rPr>
        <w:t>南京市江宁区龙眠大道101号</w:t>
      </w:r>
    </w:p>
    <w:p w14:paraId="3265FE82">
      <w:pPr>
        <w:spacing w:line="360" w:lineRule="auto"/>
        <w:ind w:firstLine="420" w:firstLineChars="200"/>
        <w:rPr>
          <w:color w:val="auto"/>
          <w:szCs w:val="21"/>
          <w:highlight w:val="none"/>
        </w:rPr>
      </w:pPr>
      <w:r>
        <w:rPr>
          <w:rFonts w:hint="eastAsia"/>
          <w:color w:val="auto"/>
          <w:szCs w:val="21"/>
          <w:highlight w:val="none"/>
        </w:rPr>
        <w:t>联系人：朱老师</w:t>
      </w:r>
    </w:p>
    <w:p w14:paraId="34807548">
      <w:pPr>
        <w:widowControl/>
        <w:shd w:val="clear" w:color="auto" w:fill="FFFFFF"/>
        <w:spacing w:line="360" w:lineRule="auto"/>
        <w:ind w:firstLine="420" w:firstLineChars="200"/>
        <w:jc w:val="left"/>
        <w:rPr>
          <w:rFonts w:ascii="宋体" w:hAnsi="宋体" w:cs="宋体"/>
          <w:color w:val="auto"/>
          <w:spacing w:val="8"/>
          <w:kern w:val="0"/>
          <w:szCs w:val="21"/>
          <w:highlight w:val="none"/>
        </w:rPr>
      </w:pPr>
      <w:r>
        <w:rPr>
          <w:rFonts w:hint="eastAsia"/>
          <w:color w:val="auto"/>
          <w:szCs w:val="21"/>
          <w:highlight w:val="none"/>
        </w:rPr>
        <w:t>联系电话：025-</w:t>
      </w:r>
      <w:r>
        <w:rPr>
          <w:rFonts w:hint="eastAsia"/>
          <w:color w:val="auto"/>
          <w:highlight w:val="none"/>
        </w:rPr>
        <w:t>86868369</w:t>
      </w:r>
    </w:p>
    <w:p w14:paraId="08B4EE9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19"/>
      <w:bookmarkEnd w:id="20"/>
    </w:p>
    <w:p w14:paraId="2A1685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单位名称：</w:t>
      </w:r>
      <w:bookmarkStart w:id="21" w:name="OLE_LINK1"/>
      <w:r>
        <w:rPr>
          <w:rFonts w:hint="eastAsia" w:ascii="宋体" w:hAnsi="宋体" w:cs="宋体"/>
          <w:color w:val="auto"/>
          <w:szCs w:val="21"/>
          <w:highlight w:val="none"/>
        </w:rPr>
        <w:t>南京苏宁工程咨询有限公司</w:t>
      </w:r>
      <w:bookmarkEnd w:id="21"/>
    </w:p>
    <w:p w14:paraId="039C4A5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单位地址：南京市鼓楼区中山路99号12楼1212室</w:t>
      </w:r>
    </w:p>
    <w:p w14:paraId="34BD32F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22" w:name="_Toc28359087"/>
      <w:bookmarkStart w:id="23" w:name="_Toc28359010"/>
      <w:r>
        <w:rPr>
          <w:rFonts w:hint="eastAsia" w:ascii="宋体" w:hAnsi="宋体" w:cs="宋体"/>
          <w:color w:val="auto"/>
          <w:szCs w:val="21"/>
          <w:highlight w:val="none"/>
        </w:rPr>
        <w:t>李佳蓉025-84200809</w:t>
      </w:r>
    </w:p>
    <w:p w14:paraId="50AE2E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bookmarkEnd w:id="22"/>
      <w:bookmarkEnd w:id="23"/>
    </w:p>
    <w:p w14:paraId="62D527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项目联系人：李佳蓉 </w:t>
      </w:r>
    </w:p>
    <w:p w14:paraId="0BC589E9">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highlight w:val="none"/>
        </w:rPr>
        <w:t>联系电话：025-84200809</w:t>
      </w:r>
    </w:p>
    <w:p w14:paraId="3AD3DA5D">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01CF5"/>
    <w:rsid w:val="02401CF5"/>
    <w:rsid w:val="2F2505F3"/>
    <w:rsid w:val="4B95369D"/>
    <w:rsid w:val="4F5D7ABD"/>
    <w:rsid w:val="5EC0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qFormat/>
    <w:uiPriority w:val="99"/>
    <w:pPr>
      <w:ind w:firstLine="420" w:firstLineChars="200"/>
    </w:pPr>
    <w:rPr>
      <w:rFonts w:ascii="Calibri" w:hAnsi="Calibri"/>
      <w:szCs w:val="22"/>
    </w:rPr>
  </w:style>
  <w:style w:type="paragraph" w:customStyle="1" w:styleId="8">
    <w:name w:val="标题 81"/>
    <w:basedOn w:val="1"/>
    <w:qFormat/>
    <w:uiPriority w:val="1"/>
    <w:pPr>
      <w:ind w:left="680"/>
      <w:outlineLvl w:val="8"/>
    </w:pPr>
    <w:rPr>
      <w:b/>
      <w:bC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2409</Words>
  <Characters>2723</Characters>
  <Lines>0</Lines>
  <Paragraphs>0</Paragraphs>
  <TotalTime>0</TotalTime>
  <ScaleCrop>false</ScaleCrop>
  <LinksUpToDate>false</LinksUpToDate>
  <CharactersWithSpaces>2725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2026-06-16T05:59:00Z</dcterms:created>
  <dc:creator>张大帅</dc:creator>
  <cp:lastModifiedBy>月光流星</cp:lastModifiedBy>
  <dcterms:modified xsi:type="dcterms:W3CDTF">2026-06-18T03:47:18Z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9CE10430D93342FFBF109EEAA163B42D_13</vt:lpwstr>
  </property>
  <property fmtid="{D5CDD505-2E9C-101B-9397-08002B2CF9AE}" pid="4" name="KSOTemplateDocerSaveRecord">
    <vt:lpwstr>eyJoZGlkIjoiOGJjNWYwMDUwNTMyNGM3YzU5MjMyZjNjYmM2NmU0NjMiLCJ1c2VySWQiOiIzNzY2MTgzNzgifQ==</vt:lpwstr>
  </property>
</Properties>
</file>