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420" w:lineRule="exact"/>
        <w:ind w:firstLine="480" w:firstLineChars="200"/>
        <w:jc w:val="center"/>
        <w:rPr>
          <w:rFonts w:hint="eastAsia" w:ascii="微软雅黑" w:hAnsi="微软雅黑" w:cs="微软雅黑"/>
          <w:b/>
          <w:bCs/>
          <w:sz w:val="24"/>
          <w:szCs w:val="24"/>
        </w:rPr>
      </w:pPr>
      <w:r>
        <w:rPr>
          <w:rFonts w:hint="eastAsia" w:ascii="微软雅黑" w:hAnsi="微软雅黑" w:cs="微软雅黑"/>
          <w:b/>
          <w:bCs/>
          <w:sz w:val="24"/>
          <w:szCs w:val="24"/>
        </w:rPr>
        <w:t>南京医科大学2024-2026年度江宁校区图书馆、德馨楼大理石地面维护</w:t>
      </w:r>
    </w:p>
    <w:p>
      <w:pPr>
        <w:pBdr>
          <w:top w:val="none" w:color="auto" w:sz="0" w:space="1"/>
          <w:left w:val="none" w:color="auto" w:sz="0" w:space="4"/>
          <w:bottom w:val="none" w:color="auto" w:sz="0" w:space="1"/>
          <w:right w:val="none" w:color="auto" w:sz="0" w:space="4"/>
        </w:pBdr>
        <w:spacing w:line="420" w:lineRule="exact"/>
        <w:ind w:firstLine="480" w:firstLineChars="200"/>
        <w:jc w:val="center"/>
        <w:rPr>
          <w:rFonts w:hint="default" w:ascii="微软雅黑" w:hAnsi="微软雅黑" w:eastAsia="微软雅黑" w:cs="微软雅黑"/>
          <w:b/>
          <w:bCs/>
          <w:sz w:val="24"/>
          <w:szCs w:val="24"/>
          <w:lang w:val="en-US" w:eastAsia="zh-CN"/>
        </w:rPr>
      </w:pPr>
      <w:r>
        <w:rPr>
          <w:rFonts w:hint="eastAsia" w:ascii="微软雅黑" w:hAnsi="微软雅黑" w:cs="微软雅黑"/>
          <w:b/>
          <w:bCs/>
          <w:sz w:val="24"/>
          <w:szCs w:val="24"/>
        </w:rPr>
        <w:t>保养项目</w:t>
      </w:r>
      <w:r>
        <w:rPr>
          <w:rFonts w:hint="eastAsia" w:ascii="微软雅黑" w:hAnsi="微软雅黑" w:cs="微软雅黑"/>
          <w:b/>
          <w:bCs/>
          <w:sz w:val="24"/>
          <w:szCs w:val="24"/>
          <w:lang w:val="en-US" w:eastAsia="zh-CN"/>
        </w:rPr>
        <w:t>公开招标公告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南京医科大学2024-2026年度江宁校区图书馆、德馨楼大理石地面维护保养招标项目的潜在投标供应商应在</w:t>
      </w:r>
      <w:r>
        <w:rPr>
          <w:rFonts w:hint="eastAsia" w:ascii="微软雅黑" w:hAnsi="微软雅黑" w:cs="微软雅黑"/>
          <w:szCs w:val="21"/>
          <w:lang w:bidi="ar"/>
        </w:rPr>
        <w:t>线上</w:t>
      </w:r>
      <w:r>
        <w:rPr>
          <w:rFonts w:hint="eastAsia" w:ascii="微软雅黑" w:hAnsi="微软雅黑" w:cs="微软雅黑"/>
          <w:szCs w:val="21"/>
        </w:rPr>
        <w:t>获取采购文件，并于202</w:t>
      </w:r>
      <w:r>
        <w:rPr>
          <w:rFonts w:hint="eastAsia" w:ascii="微软雅黑" w:hAnsi="微软雅黑" w:cs="微软雅黑"/>
          <w:szCs w:val="21"/>
          <w:lang w:val="en-US" w:eastAsia="zh-CN"/>
        </w:rPr>
        <w:t>4</w:t>
      </w:r>
      <w:r>
        <w:rPr>
          <w:rFonts w:hint="eastAsia" w:ascii="微软雅黑" w:hAnsi="微软雅黑" w:cs="微软雅黑"/>
          <w:szCs w:val="21"/>
        </w:rPr>
        <w:t>年</w:t>
      </w:r>
      <w:r>
        <w:rPr>
          <w:rFonts w:hint="eastAsia" w:ascii="微软雅黑" w:hAnsi="微软雅黑" w:cs="微软雅黑"/>
          <w:szCs w:val="21"/>
          <w:lang w:val="en-US" w:eastAsia="zh-CN"/>
        </w:rPr>
        <w:t>1</w:t>
      </w:r>
      <w:r>
        <w:rPr>
          <w:rFonts w:hint="eastAsia" w:ascii="微软雅黑" w:hAnsi="微软雅黑" w:cs="微软雅黑"/>
          <w:szCs w:val="21"/>
        </w:rPr>
        <w:t>月</w:t>
      </w:r>
      <w:r>
        <w:rPr>
          <w:rFonts w:hint="eastAsia" w:ascii="微软雅黑" w:hAnsi="微软雅黑" w:cs="微软雅黑"/>
          <w:szCs w:val="21"/>
          <w:lang w:val="en-US" w:eastAsia="zh-CN"/>
        </w:rPr>
        <w:t>5</w:t>
      </w:r>
      <w:r>
        <w:rPr>
          <w:rFonts w:hint="eastAsia" w:ascii="微软雅黑" w:hAnsi="微软雅黑" w:cs="微软雅黑"/>
          <w:szCs w:val="21"/>
        </w:rPr>
        <w:t>日</w:t>
      </w:r>
      <w:r>
        <w:rPr>
          <w:rFonts w:hint="eastAsia" w:ascii="微软雅黑" w:hAnsi="微软雅黑" w:cs="微软雅黑"/>
          <w:szCs w:val="21"/>
          <w:lang w:val="en-US" w:eastAsia="zh-CN"/>
        </w:rPr>
        <w:t>09</w:t>
      </w:r>
      <w:r>
        <w:rPr>
          <w:rFonts w:hint="eastAsia" w:ascii="微软雅黑" w:hAnsi="微软雅黑" w:cs="微软雅黑"/>
          <w:bCs/>
          <w:szCs w:val="21"/>
        </w:rPr>
        <w:t>点</w:t>
      </w:r>
      <w:r>
        <w:rPr>
          <w:rFonts w:hint="eastAsia" w:ascii="微软雅黑" w:hAnsi="微软雅黑" w:cs="微软雅黑"/>
          <w:bCs/>
          <w:szCs w:val="21"/>
          <w:lang w:val="en-US" w:eastAsia="zh-CN"/>
        </w:rPr>
        <w:t>3</w:t>
      </w:r>
      <w:r>
        <w:rPr>
          <w:rFonts w:hint="eastAsia" w:ascii="微软雅黑" w:hAnsi="微软雅黑" w:cs="微软雅黑"/>
          <w:bCs/>
          <w:szCs w:val="21"/>
        </w:rPr>
        <w:t>0分（北京时间）前递交投标文件</w:t>
      </w:r>
      <w:r>
        <w:rPr>
          <w:rFonts w:hint="eastAsia" w:ascii="微软雅黑" w:hAnsi="微软雅黑" w:cs="微软雅黑"/>
          <w:szCs w:val="21"/>
        </w:rPr>
        <w:t>。</w:t>
      </w:r>
    </w:p>
    <w:p>
      <w:pPr>
        <w:rPr>
          <w:rFonts w:hint="eastAsia" w:ascii="微软雅黑" w:hAnsi="微软雅黑" w:cs="微软雅黑"/>
          <w:b/>
          <w:bCs/>
        </w:rPr>
      </w:pPr>
      <w:bookmarkStart w:id="0" w:name="_Toc35393790"/>
      <w:bookmarkStart w:id="1" w:name="_Toc5452"/>
      <w:bookmarkStart w:id="2" w:name="_Toc28359002"/>
      <w:bookmarkStart w:id="3" w:name="_Toc35393621"/>
      <w:bookmarkStart w:id="4" w:name="_Toc28359079"/>
      <w:bookmarkStart w:id="5" w:name="_Hlk24379207"/>
      <w:r>
        <w:rPr>
          <w:rFonts w:hint="eastAsia" w:ascii="微软雅黑" w:hAnsi="微软雅黑" w:cs="微软雅黑"/>
          <w:b/>
          <w:bCs/>
        </w:rPr>
        <w:t>一、项目基本情况</w:t>
      </w:r>
      <w:bookmarkEnd w:id="0"/>
      <w:bookmarkEnd w:id="1"/>
      <w:bookmarkEnd w:id="2"/>
      <w:bookmarkEnd w:id="3"/>
      <w:bookmarkEnd w:id="4"/>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项目编号：JSHC-2023110957A2</w:t>
      </w:r>
      <w:bookmarkStart w:id="42" w:name="_GoBack"/>
      <w:bookmarkEnd w:id="42"/>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szCs w:val="21"/>
        </w:rPr>
        <w:t>项目名称：南京医科大学2024-2026年度江宁校区图书馆、德馨楼大理石地面维护保养</w:t>
      </w:r>
    </w:p>
    <w:bookmarkEnd w:id="5"/>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预算金额：人民币贰拾捌万元整/年（￥</w:t>
      </w:r>
      <w:r>
        <w:rPr>
          <w:rFonts w:ascii="微软雅黑" w:hAnsi="微软雅黑" w:cs="微软雅黑"/>
          <w:color w:val="auto"/>
          <w:szCs w:val="21"/>
          <w:highlight w:val="none"/>
        </w:rPr>
        <w:t>28</w:t>
      </w:r>
      <w:r>
        <w:rPr>
          <w:rFonts w:hint="eastAsia" w:ascii="微软雅黑" w:hAnsi="微软雅黑" w:cs="微软雅黑"/>
          <w:color w:val="auto"/>
          <w:szCs w:val="21"/>
          <w:highlight w:val="none"/>
        </w:rPr>
        <w:t>万元整/年）</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最高限价：人民币贰拾捌万元整/年（￥</w:t>
      </w:r>
      <w:r>
        <w:rPr>
          <w:rFonts w:ascii="微软雅黑" w:hAnsi="微软雅黑" w:cs="微软雅黑"/>
          <w:color w:val="auto"/>
          <w:szCs w:val="21"/>
          <w:highlight w:val="none"/>
        </w:rPr>
        <w:t>28</w:t>
      </w:r>
      <w:r>
        <w:rPr>
          <w:rFonts w:hint="eastAsia" w:ascii="微软雅黑" w:hAnsi="微软雅黑" w:cs="微软雅黑"/>
          <w:color w:val="auto"/>
          <w:szCs w:val="21"/>
          <w:highlight w:val="none"/>
        </w:rPr>
        <w:t>万元整/年）</w:t>
      </w:r>
    </w:p>
    <w:p>
      <w:pPr>
        <w:spacing w:line="420" w:lineRule="exact"/>
        <w:ind w:firstLine="420" w:firstLineChars="200"/>
        <w:rPr>
          <w:rFonts w:hint="eastAsia" w:ascii="微软雅黑" w:hAnsi="微软雅黑" w:cs="微软雅黑"/>
          <w:szCs w:val="21"/>
          <w:highlight w:val="yellow"/>
        </w:rPr>
      </w:pPr>
      <w:r>
        <w:rPr>
          <w:rFonts w:hint="eastAsia" w:ascii="微软雅黑" w:hAnsi="微软雅黑" w:cs="微软雅黑"/>
          <w:color w:val="auto"/>
          <w:szCs w:val="21"/>
          <w:highlight w:val="none"/>
        </w:rPr>
        <w:t>采购需求：</w:t>
      </w:r>
      <w:r>
        <w:rPr>
          <w:rStyle w:val="6"/>
          <w:rFonts w:hint="eastAsia" w:ascii="微软雅黑" w:hAnsi="微软雅黑" w:cs="微软雅黑"/>
          <w:color w:val="auto"/>
          <w:szCs w:val="21"/>
          <w:highlight w:val="none"/>
        </w:rPr>
        <w:t>维修保养范围为江宁校区图书馆、德馨楼中除墙面、立柱外的所有大理石，包括大厅、走道、楼梯、阳台、会议室等公共部位的大理石。图书馆约4000m</w:t>
      </w:r>
      <w:r>
        <w:rPr>
          <w:rStyle w:val="6"/>
          <w:rFonts w:hint="eastAsia" w:ascii="微软雅黑" w:hAnsi="微软雅黑" w:cs="微软雅黑"/>
          <w:color w:val="auto"/>
          <w:szCs w:val="21"/>
          <w:highlight w:val="none"/>
          <w:vertAlign w:val="superscript"/>
        </w:rPr>
        <w:t>2</w:t>
      </w:r>
      <w:r>
        <w:rPr>
          <w:rStyle w:val="6"/>
          <w:rFonts w:hint="eastAsia" w:ascii="微软雅黑" w:hAnsi="微软雅黑" w:cs="微软雅黑"/>
          <w:color w:val="auto"/>
          <w:szCs w:val="21"/>
          <w:highlight w:val="none"/>
        </w:rPr>
        <w:t>、德馨楼约4600m</w:t>
      </w:r>
      <w:r>
        <w:rPr>
          <w:rStyle w:val="6"/>
          <w:rFonts w:hint="eastAsia" w:ascii="微软雅黑" w:hAnsi="微软雅黑" w:cs="微软雅黑"/>
          <w:color w:val="auto"/>
          <w:szCs w:val="21"/>
          <w:highlight w:val="none"/>
          <w:vertAlign w:val="superscript"/>
        </w:rPr>
        <w:t>2</w:t>
      </w:r>
      <w:r>
        <w:rPr>
          <w:rStyle w:val="6"/>
          <w:rFonts w:hint="eastAsia" w:ascii="微软雅黑" w:hAnsi="微软雅黑" w:cs="微软雅黑"/>
          <w:color w:val="auto"/>
          <w:szCs w:val="21"/>
          <w:highlight w:val="none"/>
        </w:rPr>
        <w:t>，具体面积以中标人实际测量</w:t>
      </w:r>
      <w:r>
        <w:rPr>
          <w:rStyle w:val="6"/>
          <w:rFonts w:hint="eastAsia" w:ascii="微软雅黑" w:hAnsi="微软雅黑" w:cs="微软雅黑"/>
          <w:szCs w:val="21"/>
          <w:highlight w:val="none"/>
        </w:rPr>
        <w:t>、采购人审核后为准。</w:t>
      </w:r>
      <w:r>
        <w:rPr>
          <w:rFonts w:hint="eastAsia" w:ascii="微软雅黑" w:hAnsi="微软雅黑" w:cs="微软雅黑"/>
          <w:szCs w:val="21"/>
          <w:highlight w:val="none"/>
        </w:rPr>
        <w:t>总面积误差在招标面积±5%内，双方均不予调整。</w:t>
      </w:r>
      <w:r>
        <w:rPr>
          <w:rStyle w:val="6"/>
          <w:rFonts w:hint="eastAsia" w:ascii="微软雅黑" w:hAnsi="微软雅黑" w:cs="微软雅黑"/>
          <w:szCs w:val="21"/>
          <w:highlight w:val="none"/>
        </w:rPr>
        <w:t>若总面积误差超过招标面积±5%，经双方确认后，合同执行阶段按投标综合单价金额为准修正合同总价</w:t>
      </w:r>
      <w:r>
        <w:rPr>
          <w:rStyle w:val="6"/>
          <w:rFonts w:hint="eastAsia" w:ascii="微软雅黑" w:hAnsi="微软雅黑" w:cs="微软雅黑"/>
          <w:szCs w:val="21"/>
          <w:highlight w:val="none"/>
          <w:lang w:val="zh-CN"/>
        </w:rPr>
        <w:t>。</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合同履行期限：三年（具体</w:t>
      </w:r>
      <w:r>
        <w:rPr>
          <w:rFonts w:hint="eastAsia" w:ascii="微软雅黑" w:hAnsi="微软雅黑" w:cs="微软雅黑"/>
          <w:szCs w:val="21"/>
          <w:lang w:val="en-US" w:eastAsia="zh-CN"/>
        </w:rPr>
        <w:t>时间</w:t>
      </w:r>
      <w:r>
        <w:rPr>
          <w:rFonts w:hint="eastAsia" w:ascii="微软雅黑" w:hAnsi="微软雅黑" w:cs="微软雅黑"/>
          <w:szCs w:val="21"/>
        </w:rPr>
        <w:t>以采购人通知为准）。托管期内服务协议逐年（12个月）签订，采购人将对中标单位进行年度考核，考核合格后续约一年，考核不通过，服务协议终止，采购人重新招标。招标托管期满，合同自动终止。</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本项目（</w:t>
      </w:r>
      <w:r>
        <w:rPr>
          <w:rFonts w:hint="eastAsia" w:ascii="微软雅黑" w:hAnsi="微软雅黑" w:cs="微软雅黑"/>
          <w:i/>
          <w:szCs w:val="21"/>
        </w:rPr>
        <w:t>是/否</w:t>
      </w:r>
      <w:r>
        <w:rPr>
          <w:rFonts w:hint="eastAsia" w:ascii="微软雅黑" w:hAnsi="微软雅黑" w:cs="微软雅黑"/>
          <w:szCs w:val="21"/>
        </w:rPr>
        <w:t>）接受联合体：</w:t>
      </w:r>
      <w:r>
        <w:rPr>
          <w:rFonts w:hint="eastAsia" w:ascii="微软雅黑" w:hAnsi="微软雅黑" w:cs="微软雅黑"/>
          <w:b/>
          <w:bCs/>
          <w:szCs w:val="21"/>
        </w:rPr>
        <w:t>否</w:t>
      </w:r>
    </w:p>
    <w:p>
      <w:pPr>
        <w:rPr>
          <w:rFonts w:hint="eastAsia" w:ascii="微软雅黑" w:hAnsi="微软雅黑" w:cs="微软雅黑"/>
          <w:b/>
          <w:bCs/>
        </w:rPr>
      </w:pPr>
      <w:bookmarkStart w:id="6" w:name="_Toc28359003"/>
      <w:bookmarkStart w:id="7" w:name="_Toc35393622"/>
      <w:bookmarkStart w:id="8" w:name="_Toc18689"/>
      <w:bookmarkStart w:id="9" w:name="_Toc28359080"/>
      <w:bookmarkStart w:id="10" w:name="_Toc35393791"/>
      <w:r>
        <w:rPr>
          <w:rFonts w:hint="eastAsia" w:ascii="微软雅黑" w:hAnsi="微软雅黑" w:cs="微软雅黑"/>
          <w:b/>
          <w:bCs/>
        </w:rPr>
        <w:t>二、申请人的资格要求：</w:t>
      </w:r>
      <w:bookmarkEnd w:id="6"/>
      <w:bookmarkEnd w:id="7"/>
      <w:bookmarkEnd w:id="8"/>
      <w:bookmarkEnd w:id="9"/>
      <w:bookmarkEnd w:id="10"/>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1.满足《中华人民共和国政府采购法》第二十二条规定：</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1.1具有独立承担民事责任的能力（提供法人或者其他组织的营业执照复印件）；</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1.2具有良好的商业信誉和健全的财务会计制度（提供2022年11月至投标截止时间前任一月份的资产负债表和利润表，</w:t>
      </w:r>
      <w:r>
        <w:rPr>
          <w:rFonts w:hint="eastAsia" w:ascii="微软雅黑" w:hAnsi="微软雅黑" w:cs="微软雅黑"/>
          <w:b/>
          <w:bCs/>
          <w:szCs w:val="21"/>
        </w:rPr>
        <w:t>或</w:t>
      </w:r>
      <w:r>
        <w:rPr>
          <w:rFonts w:hint="eastAsia" w:ascii="微软雅黑" w:hAnsi="微软雅黑" w:cs="微软雅黑"/>
          <w:szCs w:val="21"/>
        </w:rPr>
        <w:t>2022年度审计报告，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（法人或者其他组织成立未满一年的可以不提供）</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2022年11月至投标截止时间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hint="eastAsia" w:ascii="微软雅黑" w:hAnsi="微软雅黑" w:cs="微软雅黑"/>
          <w:szCs w:val="21"/>
          <w:highlight w:val="none"/>
        </w:rPr>
      </w:pPr>
      <w:r>
        <w:rPr>
          <w:rFonts w:hint="eastAsia" w:ascii="微软雅黑" w:hAnsi="微软雅黑" w:cs="微软雅黑"/>
          <w:szCs w:val="21"/>
          <w:highlight w:val="none"/>
        </w:rPr>
        <w:t>1.6投标供应商须提供法定代表人授权书原件、法定代表人身份证复印件、授权代表身份证复印件（如果是法定代表人直接参与投标的可以不提供授权书）。</w:t>
      </w:r>
    </w:p>
    <w:p>
      <w:pPr>
        <w:spacing w:line="420" w:lineRule="exact"/>
        <w:ind w:firstLine="420" w:firstLineChars="200"/>
        <w:rPr>
          <w:rFonts w:hint="eastAsia" w:ascii="微软雅黑" w:hAnsi="微软雅黑" w:cs="微软雅黑"/>
          <w:szCs w:val="21"/>
          <w:highlight w:val="none"/>
        </w:rPr>
      </w:pPr>
      <w:bookmarkStart w:id="11" w:name="_Toc28359004"/>
      <w:bookmarkStart w:id="12" w:name="_Toc28359081"/>
      <w:r>
        <w:rPr>
          <w:rFonts w:hint="eastAsia" w:ascii="微软雅黑" w:hAnsi="微软雅黑" w:cs="微软雅黑"/>
          <w:szCs w:val="21"/>
          <w:highlight w:val="none"/>
        </w:rPr>
        <w:t>2.本项目的特定资格要求：无</w:t>
      </w:r>
    </w:p>
    <w:p>
      <w:pPr>
        <w:spacing w:line="420" w:lineRule="exact"/>
        <w:ind w:firstLine="420" w:firstLineChars="200"/>
        <w:rPr>
          <w:rFonts w:hint="eastAsia" w:ascii="微软雅黑" w:hAnsi="微软雅黑" w:cs="微软雅黑"/>
          <w:highlight w:val="none"/>
        </w:rPr>
      </w:pPr>
      <w:r>
        <w:rPr>
          <w:rFonts w:hint="eastAsia" w:ascii="微软雅黑" w:hAnsi="微软雅黑" w:cs="微软雅黑"/>
          <w:szCs w:val="21"/>
          <w:highlight w:val="none"/>
        </w:rPr>
        <w:t>3.本项目不接受联合体投标</w:t>
      </w:r>
      <w:r>
        <w:rPr>
          <w:rFonts w:hint="eastAsia" w:ascii="微软雅黑" w:hAnsi="微软雅黑" w:cs="微软雅黑"/>
          <w:szCs w:val="21"/>
          <w:highlight w:val="none"/>
          <w:lang w:val="zh-CN"/>
        </w:rPr>
        <w:t>。</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highlight w:val="none"/>
        </w:rPr>
        <w:t>4.拒绝下述供应商参加本次采购</w:t>
      </w:r>
      <w:r>
        <w:rPr>
          <w:rFonts w:hint="eastAsia" w:ascii="微软雅黑" w:hAnsi="微软雅黑" w:cs="微软雅黑"/>
          <w:szCs w:val="21"/>
        </w:rPr>
        <w:t>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4.1为采购项目提供整体设计、规范编制或者项目管理、监理、检测等服务的；</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4.2供应商单位负责人为同一人或者存在直接控股、管理关系的不同供应商，不得参加同一合同项下的采购活动；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4.3被“信用中国”网站(www.creditchina.gov.cn)或中国政府采购网(www.ccgp.gov.cn)列入失信被执行人、重大税收违法案件当事人、政府采购严重违法失信行为记录名单的。</w:t>
      </w:r>
    </w:p>
    <w:p>
      <w:pPr>
        <w:rPr>
          <w:rFonts w:hint="eastAsia" w:ascii="微软雅黑" w:hAnsi="微软雅黑" w:cs="微软雅黑"/>
          <w:b/>
          <w:bCs/>
        </w:rPr>
      </w:pPr>
      <w:bookmarkStart w:id="13" w:name="_Toc35393792"/>
      <w:bookmarkStart w:id="14" w:name="_Toc15914"/>
      <w:bookmarkStart w:id="15" w:name="_Toc35393623"/>
      <w:r>
        <w:rPr>
          <w:rFonts w:hint="eastAsia" w:ascii="微软雅黑" w:hAnsi="微软雅黑" w:cs="微软雅黑"/>
          <w:b/>
          <w:bCs/>
        </w:rPr>
        <w:t>三、获取采购文件</w:t>
      </w:r>
      <w:bookmarkEnd w:id="11"/>
      <w:bookmarkEnd w:id="12"/>
      <w:bookmarkEnd w:id="13"/>
      <w:bookmarkEnd w:id="14"/>
      <w:bookmarkEnd w:id="15"/>
    </w:p>
    <w:p>
      <w:pPr>
        <w:spacing w:line="420" w:lineRule="exact"/>
        <w:ind w:firstLine="540"/>
        <w:rPr>
          <w:rFonts w:hint="eastAsia" w:ascii="微软雅黑" w:hAnsi="微软雅黑" w:cs="微软雅黑"/>
          <w:szCs w:val="21"/>
        </w:rPr>
      </w:pPr>
      <w:bookmarkStart w:id="16" w:name="_Toc28359005"/>
      <w:bookmarkStart w:id="17" w:name="_Toc35393793"/>
      <w:bookmarkStart w:id="18" w:name="_Toc35393624"/>
      <w:bookmarkStart w:id="19" w:name="_Toc28359082"/>
      <w:r>
        <w:rPr>
          <w:rFonts w:hint="eastAsia" w:ascii="微软雅黑" w:hAnsi="微软雅黑" w:cs="微软雅黑"/>
          <w:szCs w:val="21"/>
        </w:rPr>
        <w:t>时间：</w:t>
      </w:r>
      <w:r>
        <w:rPr>
          <w:rFonts w:hint="eastAsia" w:ascii="微软雅黑" w:hAnsi="微软雅黑" w:cs="微软雅黑"/>
          <w:szCs w:val="21"/>
          <w:u w:val="single"/>
        </w:rPr>
        <w:t xml:space="preserve"> 2023年</w:t>
      </w:r>
      <w:r>
        <w:rPr>
          <w:rFonts w:hint="eastAsia" w:ascii="微软雅黑" w:hAnsi="微软雅黑" w:cs="微软雅黑"/>
          <w:szCs w:val="21"/>
          <w:u w:val="single"/>
          <w:lang w:val="en-US" w:eastAsia="zh-CN"/>
        </w:rPr>
        <w:t>12</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15</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2023年</w:t>
      </w:r>
      <w:r>
        <w:rPr>
          <w:rFonts w:hint="eastAsia" w:ascii="微软雅黑" w:hAnsi="微软雅黑" w:cs="微软雅黑"/>
          <w:szCs w:val="21"/>
          <w:u w:val="single"/>
          <w:lang w:val="en-US" w:eastAsia="zh-CN"/>
        </w:rPr>
        <w:t>12</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22</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pPr>
        <w:spacing w:line="420" w:lineRule="exact"/>
        <w:ind w:firstLine="540"/>
        <w:rPr>
          <w:rFonts w:hint="eastAsia" w:ascii="微软雅黑" w:hAnsi="微软雅黑" w:cs="微软雅黑"/>
          <w:szCs w:val="21"/>
        </w:rPr>
      </w:pPr>
      <w:r>
        <w:rPr>
          <w:rFonts w:hint="eastAsia" w:ascii="微软雅黑" w:hAnsi="微软雅黑" w:cs="微软雅黑"/>
          <w:szCs w:val="21"/>
        </w:rPr>
        <w:t>地点：</w:t>
      </w:r>
      <w:r>
        <w:rPr>
          <w:rFonts w:hint="eastAsia" w:ascii="微软雅黑" w:hAnsi="微软雅黑" w:cs="微软雅黑"/>
          <w:bCs/>
          <w:szCs w:val="21"/>
        </w:rPr>
        <w:t>南京市建邺区嘉陵江东街8号综合体B3栋一单元16层　</w:t>
      </w:r>
    </w:p>
    <w:p>
      <w:pPr>
        <w:spacing w:line="420" w:lineRule="exact"/>
        <w:ind w:firstLine="540"/>
        <w:rPr>
          <w:rFonts w:hint="eastAsia" w:ascii="微软雅黑" w:hAnsi="微软雅黑" w:cs="微软雅黑"/>
          <w:szCs w:val="21"/>
        </w:rPr>
      </w:pPr>
      <w:r>
        <w:rPr>
          <w:rFonts w:hint="eastAsia" w:ascii="微软雅黑" w:hAnsi="微软雅黑" w:cs="微软雅黑"/>
          <w:szCs w:val="21"/>
        </w:rPr>
        <w:t>方式：现场或邮箱获取采购文件，</w:t>
      </w:r>
      <w:r>
        <w:rPr>
          <w:rFonts w:hint="eastAsia" w:ascii="微软雅黑" w:hAnsi="微软雅黑" w:cs="微软雅黑"/>
        </w:rPr>
        <w:t>供应商如确定参加投标，须购买采购文件，否则投标无效</w:t>
      </w:r>
      <w:r>
        <w:rPr>
          <w:rFonts w:hint="eastAsia" w:ascii="微软雅黑" w:hAnsi="微软雅黑" w:cs="微软雅黑"/>
          <w:szCs w:val="21"/>
        </w:rPr>
        <w:t>。</w:t>
      </w:r>
    </w:p>
    <w:p>
      <w:pPr>
        <w:spacing w:line="420" w:lineRule="exact"/>
        <w:ind w:firstLine="540"/>
        <w:rPr>
          <w:rFonts w:hint="eastAsia" w:ascii="微软雅黑" w:hAnsi="微软雅黑" w:cs="微软雅黑"/>
          <w:szCs w:val="21"/>
        </w:rPr>
      </w:pPr>
      <w:r>
        <w:rPr>
          <w:rFonts w:hint="eastAsia" w:ascii="微软雅黑" w:hAnsi="微软雅黑" w:cs="微软雅黑"/>
          <w:szCs w:val="21"/>
        </w:rPr>
        <w:t>采购文件售价：¥500（采购文件售后一概不退）</w:t>
      </w:r>
    </w:p>
    <w:p>
      <w:pPr>
        <w:spacing w:line="420" w:lineRule="exact"/>
        <w:ind w:firstLine="540"/>
        <w:rPr>
          <w:rFonts w:hint="eastAsia"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获取采购文件须提供的资料：加盖公章的授权委托书原件或扫描件、加盖公章的被委托人身份证复印件或扫描件，及汇款凭据的截图（付款码见</w:t>
      </w:r>
      <w:r>
        <w:rPr>
          <w:rFonts w:hint="eastAsia" w:ascii="微软雅黑" w:hAnsi="微软雅黑" w:cs="微软雅黑"/>
          <w:szCs w:val="21"/>
          <w:lang w:val="en-US" w:eastAsia="zh-CN"/>
        </w:rPr>
        <w:t>公告</w:t>
      </w:r>
      <w:r>
        <w:rPr>
          <w:rFonts w:hint="eastAsia" w:ascii="微软雅黑" w:hAnsi="微软雅黑" w:cs="微软雅黑"/>
          <w:szCs w:val="21"/>
        </w:rPr>
        <w:t>附件）</w:t>
      </w:r>
      <w:r>
        <w:rPr>
          <w:rFonts w:hint="eastAsia" w:ascii="微软雅黑" w:hAnsi="微软雅黑" w:cs="微软雅黑"/>
          <w:b/>
          <w:bCs/>
        </w:rPr>
        <w:t>（转账时请务必备注公司名称+957A2）</w:t>
      </w:r>
      <w:r>
        <w:rPr>
          <w:rFonts w:hint="eastAsia" w:ascii="微软雅黑" w:hAnsi="微软雅黑" w:cs="微软雅黑"/>
          <w:b/>
          <w:bCs/>
          <w:szCs w:val="21"/>
        </w:rPr>
        <w:t>。</w:t>
      </w:r>
    </w:p>
    <w:p>
      <w:pPr>
        <w:spacing w:line="420" w:lineRule="exact"/>
        <w:ind w:firstLine="540"/>
        <w:rPr>
          <w:rFonts w:hint="eastAsia" w:ascii="微软雅黑" w:hAnsi="微软雅黑" w:cs="微软雅黑"/>
          <w:szCs w:val="21"/>
        </w:rPr>
      </w:pP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bookmarkStart w:id="20" w:name="_Toc1219"/>
    </w:p>
    <w:p>
      <w:pPr>
        <w:spacing w:line="420" w:lineRule="exact"/>
        <w:rPr>
          <w:rFonts w:hint="eastAsia" w:ascii="微软雅黑" w:hAnsi="微软雅黑" w:cs="微软雅黑"/>
          <w:b/>
          <w:szCs w:val="21"/>
        </w:rPr>
      </w:pPr>
      <w:r>
        <w:rPr>
          <w:rFonts w:hint="eastAsia" w:ascii="微软雅黑" w:hAnsi="微软雅黑" w:cs="微软雅黑"/>
          <w:b/>
          <w:szCs w:val="21"/>
        </w:rPr>
        <w:t>四、</w:t>
      </w:r>
      <w:bookmarkEnd w:id="16"/>
      <w:bookmarkEnd w:id="17"/>
      <w:bookmarkEnd w:id="18"/>
      <w:bookmarkEnd w:id="19"/>
      <w:bookmarkEnd w:id="20"/>
      <w:r>
        <w:rPr>
          <w:rFonts w:hint="eastAsia" w:ascii="微软雅黑" w:hAnsi="微软雅黑" w:cs="微软雅黑"/>
          <w:b/>
          <w:szCs w:val="21"/>
        </w:rPr>
        <w:t>提交投标文件截止时间、开标时间和地点</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w:t>
      </w:r>
      <w:r>
        <w:rPr>
          <w:rFonts w:hint="eastAsia" w:ascii="微软雅黑" w:hAnsi="微软雅黑" w:cs="微软雅黑"/>
          <w:szCs w:val="21"/>
          <w:lang w:val="en-US" w:eastAsia="zh-CN"/>
        </w:rPr>
        <w:t>4</w:t>
      </w:r>
      <w:r>
        <w:rPr>
          <w:rFonts w:hint="eastAsia" w:ascii="微软雅黑" w:hAnsi="微软雅黑" w:cs="微软雅黑"/>
          <w:szCs w:val="21"/>
        </w:rPr>
        <w:t>年</w:t>
      </w:r>
      <w:r>
        <w:rPr>
          <w:rFonts w:hint="eastAsia" w:ascii="微软雅黑" w:hAnsi="微软雅黑" w:cs="微软雅黑"/>
          <w:szCs w:val="21"/>
          <w:lang w:val="en-US" w:eastAsia="zh-CN"/>
        </w:rPr>
        <w:t>1</w:t>
      </w:r>
      <w:r>
        <w:rPr>
          <w:rFonts w:hint="eastAsia" w:ascii="微软雅黑" w:hAnsi="微软雅黑" w:cs="微软雅黑"/>
          <w:szCs w:val="21"/>
        </w:rPr>
        <w:t>月</w:t>
      </w:r>
      <w:r>
        <w:rPr>
          <w:rFonts w:hint="eastAsia" w:ascii="微软雅黑" w:hAnsi="微软雅黑" w:cs="微软雅黑"/>
          <w:szCs w:val="21"/>
          <w:lang w:val="en-US" w:eastAsia="zh-CN"/>
        </w:rPr>
        <w:t>5</w:t>
      </w:r>
      <w:r>
        <w:rPr>
          <w:rFonts w:hint="eastAsia" w:ascii="微软雅黑" w:hAnsi="微软雅黑" w:cs="微软雅黑"/>
          <w:szCs w:val="21"/>
        </w:rPr>
        <w:t>日</w:t>
      </w:r>
      <w:r>
        <w:rPr>
          <w:rFonts w:hint="eastAsia" w:ascii="微软雅黑" w:hAnsi="微软雅黑" w:cs="微软雅黑"/>
          <w:szCs w:val="21"/>
          <w:lang w:val="en-US" w:eastAsia="zh-CN"/>
        </w:rPr>
        <w:t>09</w:t>
      </w:r>
      <w:r>
        <w:rPr>
          <w:rFonts w:hint="eastAsia" w:ascii="微软雅黑" w:hAnsi="微软雅黑" w:cs="微软雅黑"/>
          <w:bCs/>
          <w:szCs w:val="21"/>
        </w:rPr>
        <w:t>点</w:t>
      </w:r>
      <w:r>
        <w:rPr>
          <w:rFonts w:hint="eastAsia" w:ascii="微软雅黑" w:hAnsi="微软雅黑" w:cs="微软雅黑"/>
          <w:bCs/>
          <w:szCs w:val="21"/>
          <w:lang w:val="en-US" w:eastAsia="zh-CN"/>
        </w:rPr>
        <w:t>3</w:t>
      </w:r>
      <w:r>
        <w:rPr>
          <w:rFonts w:hint="eastAsia" w:ascii="微软雅黑" w:hAnsi="微软雅黑" w:cs="微软雅黑"/>
          <w:bCs/>
          <w:szCs w:val="21"/>
        </w:rPr>
        <w:t>0分00秒（北京时间）</w:t>
      </w:r>
    </w:p>
    <w:p>
      <w:pPr>
        <w:spacing w:line="420" w:lineRule="exact"/>
        <w:ind w:firstLine="420" w:firstLineChars="200"/>
        <w:rPr>
          <w:rFonts w:hint="eastAsia" w:ascii="微软雅黑" w:hAnsi="微软雅黑" w:cs="微软雅黑"/>
          <w:szCs w:val="21"/>
        </w:rPr>
      </w:pPr>
      <w:r>
        <w:rPr>
          <w:rFonts w:hint="eastAsia" w:ascii="微软雅黑" w:hAnsi="微软雅黑" w:cs="微软雅黑"/>
          <w:bCs/>
          <w:szCs w:val="21"/>
        </w:rPr>
        <w:t>开标时间：</w:t>
      </w:r>
      <w:r>
        <w:rPr>
          <w:rFonts w:hint="eastAsia" w:ascii="微软雅黑" w:hAnsi="微软雅黑" w:cs="微软雅黑"/>
          <w:szCs w:val="21"/>
        </w:rPr>
        <w:t>202</w:t>
      </w:r>
      <w:r>
        <w:rPr>
          <w:rFonts w:hint="eastAsia" w:ascii="微软雅黑" w:hAnsi="微软雅黑" w:cs="微软雅黑"/>
          <w:szCs w:val="21"/>
          <w:lang w:val="en-US" w:eastAsia="zh-CN"/>
        </w:rPr>
        <w:t>4</w:t>
      </w:r>
      <w:r>
        <w:rPr>
          <w:rFonts w:hint="eastAsia" w:ascii="微软雅黑" w:hAnsi="微软雅黑" w:cs="微软雅黑"/>
          <w:szCs w:val="21"/>
        </w:rPr>
        <w:t>年</w:t>
      </w:r>
      <w:r>
        <w:rPr>
          <w:rFonts w:hint="eastAsia" w:ascii="微软雅黑" w:hAnsi="微软雅黑" w:cs="微软雅黑"/>
          <w:szCs w:val="21"/>
          <w:lang w:val="en-US" w:eastAsia="zh-CN"/>
        </w:rPr>
        <w:t>1</w:t>
      </w:r>
      <w:r>
        <w:rPr>
          <w:rFonts w:hint="eastAsia" w:ascii="微软雅黑" w:hAnsi="微软雅黑" w:cs="微软雅黑"/>
          <w:szCs w:val="21"/>
        </w:rPr>
        <w:t>月</w:t>
      </w:r>
      <w:r>
        <w:rPr>
          <w:rFonts w:hint="eastAsia" w:ascii="微软雅黑" w:hAnsi="微软雅黑" w:cs="微软雅黑"/>
          <w:szCs w:val="21"/>
          <w:lang w:val="en-US" w:eastAsia="zh-CN"/>
        </w:rPr>
        <w:t>5</w:t>
      </w:r>
      <w:r>
        <w:rPr>
          <w:rFonts w:hint="eastAsia" w:ascii="微软雅黑" w:hAnsi="微软雅黑" w:cs="微软雅黑"/>
          <w:szCs w:val="21"/>
        </w:rPr>
        <w:t>日</w:t>
      </w:r>
      <w:r>
        <w:rPr>
          <w:rFonts w:hint="eastAsia" w:ascii="微软雅黑" w:hAnsi="微软雅黑" w:cs="微软雅黑"/>
          <w:szCs w:val="21"/>
          <w:lang w:val="en-US" w:eastAsia="zh-CN"/>
        </w:rPr>
        <w:t>09</w:t>
      </w:r>
      <w:r>
        <w:rPr>
          <w:rFonts w:hint="eastAsia" w:ascii="微软雅黑" w:hAnsi="微软雅黑" w:cs="微软雅黑"/>
          <w:bCs/>
          <w:szCs w:val="21"/>
        </w:rPr>
        <w:t>点</w:t>
      </w:r>
      <w:r>
        <w:rPr>
          <w:rFonts w:hint="eastAsia" w:ascii="微软雅黑" w:hAnsi="微软雅黑" w:cs="微软雅黑"/>
          <w:bCs/>
          <w:szCs w:val="21"/>
          <w:lang w:val="en-US" w:eastAsia="zh-CN"/>
        </w:rPr>
        <w:t>3</w:t>
      </w:r>
      <w:r>
        <w:rPr>
          <w:rFonts w:hint="eastAsia" w:ascii="微软雅黑" w:hAnsi="微软雅黑" w:cs="微软雅黑"/>
          <w:bCs/>
          <w:szCs w:val="21"/>
        </w:rPr>
        <w:t>0分00秒后（北京时间）</w:t>
      </w:r>
    </w:p>
    <w:p>
      <w:pPr>
        <w:rPr>
          <w:rFonts w:hint="eastAsia" w:ascii="微软雅黑" w:hAnsi="微软雅黑" w:cs="微软雅黑"/>
          <w:b/>
          <w:bCs/>
        </w:rPr>
      </w:pPr>
      <w:bookmarkStart w:id="21" w:name="_Toc35393625"/>
      <w:bookmarkStart w:id="22" w:name="_Toc35393794"/>
      <w:bookmarkStart w:id="23" w:name="_Toc28359084"/>
      <w:bookmarkStart w:id="24" w:name="_Toc28359007"/>
      <w:bookmarkStart w:id="25" w:name="_Toc31210"/>
      <w:r>
        <w:rPr>
          <w:rFonts w:hint="eastAsia" w:ascii="微软雅黑" w:hAnsi="微软雅黑" w:cs="微软雅黑"/>
          <w:b/>
          <w:bCs/>
        </w:rPr>
        <w:t>五、公告期限</w:t>
      </w:r>
      <w:bookmarkEnd w:id="21"/>
      <w:bookmarkEnd w:id="22"/>
      <w:bookmarkEnd w:id="23"/>
      <w:bookmarkEnd w:id="24"/>
      <w:bookmarkEnd w:id="25"/>
    </w:p>
    <w:p>
      <w:pPr>
        <w:spacing w:line="420" w:lineRule="exact"/>
        <w:ind w:firstLine="420" w:firstLineChars="200"/>
        <w:rPr>
          <w:rFonts w:hint="eastAsia" w:ascii="微软雅黑" w:hAnsi="微软雅黑" w:cs="微软雅黑"/>
        </w:rPr>
      </w:pPr>
      <w:r>
        <w:rPr>
          <w:rFonts w:hint="eastAsia" w:ascii="微软雅黑" w:hAnsi="微软雅黑" w:cs="微软雅黑"/>
          <w:kern w:val="0"/>
          <w:szCs w:val="21"/>
        </w:rPr>
        <w:t>自本公告发布之日起5个工作日。</w:t>
      </w:r>
    </w:p>
    <w:p>
      <w:pPr>
        <w:rPr>
          <w:rFonts w:hint="eastAsia" w:ascii="微软雅黑" w:hAnsi="微软雅黑" w:cs="微软雅黑"/>
          <w:b/>
          <w:bCs/>
        </w:rPr>
      </w:pPr>
      <w:bookmarkStart w:id="26" w:name="_Toc35393626"/>
      <w:bookmarkStart w:id="27" w:name="_Toc35393795"/>
      <w:bookmarkStart w:id="28" w:name="_Toc19985"/>
      <w:r>
        <w:rPr>
          <w:rFonts w:hint="eastAsia" w:ascii="微软雅黑" w:hAnsi="微软雅黑" w:cs="微软雅黑"/>
          <w:b/>
          <w:bCs/>
        </w:rPr>
        <w:t>六、其他补充事宜</w:t>
      </w:r>
      <w:bookmarkEnd w:id="26"/>
      <w:bookmarkEnd w:id="27"/>
      <w:bookmarkEnd w:id="28"/>
    </w:p>
    <w:p>
      <w:pPr>
        <w:spacing w:line="420" w:lineRule="exact"/>
        <w:ind w:firstLine="540"/>
        <w:rPr>
          <w:rFonts w:hint="eastAsia" w:ascii="微软雅黑" w:hAnsi="微软雅黑" w:cs="微软雅黑"/>
          <w:szCs w:val="21"/>
        </w:rPr>
      </w:pPr>
      <w:bookmarkStart w:id="29" w:name="_Toc35393627"/>
      <w:bookmarkStart w:id="30" w:name="_Toc28359008"/>
      <w:bookmarkStart w:id="31" w:name="_Toc35393796"/>
      <w:bookmarkStart w:id="32" w:name="_Toc19317"/>
      <w:bookmarkStart w:id="33" w:name="_Toc28359085"/>
      <w:r>
        <w:rPr>
          <w:rFonts w:hint="eastAsia" w:ascii="微软雅黑" w:hAnsi="微软雅黑" w:cs="微软雅黑"/>
          <w:szCs w:val="21"/>
        </w:rPr>
        <w:t>1.本项目不统一组织踏勘，投标人可自行踏勘现场，踏勘现场所发生的费用及安全责任由投标人承担。一旦投标人中标，中标人不得以不完全了解现场为由，而提出额外的赔偿、补偿、增加费用和延长时间等要求，对此采购人可不予采纳。</w:t>
      </w:r>
    </w:p>
    <w:p>
      <w:pPr>
        <w:spacing w:line="420" w:lineRule="exact"/>
        <w:ind w:firstLine="540"/>
        <w:rPr>
          <w:rFonts w:hint="eastAsia" w:ascii="微软雅黑" w:hAnsi="微软雅黑" w:cs="微软雅黑"/>
          <w:szCs w:val="21"/>
        </w:rPr>
      </w:pPr>
      <w:r>
        <w:rPr>
          <w:rFonts w:hint="eastAsia" w:ascii="微软雅黑" w:hAnsi="微软雅黑" w:cs="微软雅黑"/>
          <w:szCs w:val="21"/>
        </w:rPr>
        <w:t xml:space="preserve">2.有关本次招标的事项若存在变动或修改，敬请及时关注南京医科大学网页(sjfwc.njmu.edu.cn/zbgg/list.htm)发布的信息更正公告。     </w:t>
      </w:r>
    </w:p>
    <w:p>
      <w:pPr>
        <w:rPr>
          <w:rFonts w:hint="eastAsia" w:ascii="微软雅黑" w:hAnsi="微软雅黑" w:cs="微软雅黑"/>
          <w:b/>
          <w:bCs/>
        </w:rPr>
      </w:pPr>
      <w:r>
        <w:rPr>
          <w:rFonts w:hint="eastAsia" w:ascii="微软雅黑" w:hAnsi="微软雅黑" w:cs="微软雅黑"/>
          <w:b/>
          <w:bCs/>
        </w:rPr>
        <w:t>七、对本次招标提出询问，请按以下方式联系。</w:t>
      </w:r>
      <w:bookmarkEnd w:id="29"/>
      <w:bookmarkEnd w:id="30"/>
      <w:bookmarkEnd w:id="31"/>
      <w:bookmarkEnd w:id="32"/>
      <w:bookmarkEnd w:id="33"/>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1.采购人信息</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称：南京医科大学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址：南京市江宁区龙眠大道101号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 xml:space="preserve">联系方式：尚老师  025-86869607　　 　　   　 </w:t>
      </w:r>
    </w:p>
    <w:p>
      <w:pPr>
        <w:spacing w:line="420" w:lineRule="exact"/>
        <w:ind w:firstLine="630" w:firstLineChars="300"/>
        <w:rPr>
          <w:rFonts w:hint="eastAsia" w:ascii="微软雅黑" w:hAnsi="微软雅黑" w:cs="微软雅黑"/>
          <w:bCs/>
          <w:szCs w:val="21"/>
        </w:rPr>
      </w:pPr>
      <w:bookmarkStart w:id="34" w:name="_Toc28359020"/>
      <w:bookmarkEnd w:id="34"/>
      <w:bookmarkStart w:id="35" w:name="_Toc35393638"/>
      <w:bookmarkEnd w:id="35"/>
      <w:bookmarkStart w:id="36" w:name="_Toc35393807"/>
      <w:bookmarkEnd w:id="36"/>
      <w:bookmarkStart w:id="37" w:name="_Toc28359097"/>
      <w:bookmarkEnd w:id="37"/>
      <w:r>
        <w:rPr>
          <w:rFonts w:hint="eastAsia" w:ascii="微软雅黑" w:hAnsi="微软雅黑" w:cs="微软雅黑"/>
          <w:bCs/>
          <w:szCs w:val="21"/>
        </w:rPr>
        <w:t>2.采购代理机构信息</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称：江苏省华采招标有限公司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址：南京市建邺区嘉陵江东街8号综合体B3栋一单元16层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联系方式：李娆/张婷/陈玥/王冬  025-83603378　　　　　　　  　　　</w:t>
      </w:r>
    </w:p>
    <w:p>
      <w:pPr>
        <w:spacing w:line="420" w:lineRule="exact"/>
        <w:ind w:firstLine="630" w:firstLineChars="300"/>
        <w:rPr>
          <w:rFonts w:hint="eastAsia" w:ascii="微软雅黑" w:hAnsi="微软雅黑" w:cs="微软雅黑"/>
          <w:bCs/>
          <w:szCs w:val="21"/>
        </w:rPr>
      </w:pPr>
      <w:bookmarkStart w:id="38" w:name="_Toc35393639"/>
      <w:bookmarkEnd w:id="38"/>
      <w:bookmarkStart w:id="39" w:name="_Toc28359021"/>
      <w:bookmarkEnd w:id="39"/>
      <w:bookmarkStart w:id="40" w:name="_Toc35393808"/>
      <w:bookmarkEnd w:id="40"/>
      <w:bookmarkStart w:id="41" w:name="_Toc28359098"/>
      <w:bookmarkEnd w:id="41"/>
      <w:r>
        <w:rPr>
          <w:rFonts w:hint="eastAsia" w:ascii="微软雅黑" w:hAnsi="微软雅黑" w:cs="微软雅黑"/>
          <w:bCs/>
          <w:szCs w:val="21"/>
        </w:rPr>
        <w:t>3.项目联系方式</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 xml:space="preserve">项目联系人：王冬            </w:t>
      </w:r>
    </w:p>
    <w:p>
      <w:pPr>
        <w:pStyle w:val="2"/>
        <w:ind w:left="0" w:leftChars="0" w:firstLine="630" w:firstLineChars="300"/>
        <w:rPr>
          <w:rFonts w:hint="eastAsia"/>
          <w:lang w:val="en-US" w:eastAsia="zh-CN"/>
        </w:rPr>
      </w:pPr>
      <w:r>
        <w:rPr>
          <w:rFonts w:hint="eastAsia" w:ascii="微软雅黑" w:hAnsi="微软雅黑" w:cs="微软雅黑"/>
          <w:bCs/>
          <w:szCs w:val="21"/>
        </w:rPr>
        <w:t>电　　 话：025-83603378</w:t>
      </w:r>
    </w:p>
    <w:p>
      <w:pPr>
        <w:pStyle w:val="2"/>
        <w:jc w:val="righ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江苏省华采招标有限公司</w:t>
      </w:r>
    </w:p>
    <w:p>
      <w:pPr>
        <w:jc w:val="righ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2023年12月15日</w:t>
      </w:r>
    </w:p>
    <w:p>
      <w:pPr>
        <w:rPr>
          <w:rFonts w:hint="eastAsia"/>
          <w:lang w:val="en-US" w:eastAsia="zh-CN"/>
        </w:rPr>
      </w:pPr>
      <w:r>
        <w:rPr>
          <w:rFonts w:hint="eastAsia"/>
          <w:lang w:val="en-US" w:eastAsia="zh-CN"/>
        </w:rPr>
        <w:t>附：</w:t>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1156970" cy="1800225"/>
            <wp:effectExtent l="0" t="0" r="5080" b="9525"/>
            <wp:docPr id="1" name="图片 1" descr="华采支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采支付二维码"/>
                    <pic:cNvPicPr>
                      <a:picLocks noChangeAspect="1"/>
                    </pic:cNvPicPr>
                  </pic:nvPicPr>
                  <pic:blipFill>
                    <a:blip r:embed="rId5"/>
                    <a:stretch>
                      <a:fillRect/>
                    </a:stretch>
                  </pic:blipFill>
                  <pic:spPr>
                    <a:xfrm>
                      <a:off x="0" y="0"/>
                      <a:ext cx="1156970" cy="180022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_GB2312">
    <w:altName w:val="宋体"/>
    <w:panose1 w:val="00000000000000000000"/>
    <w:charset w:val="7A"/>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zQ2ZWUzMjFmNzNiMTAwODU3Mzg0Mzk1ZGFiZTMifQ=="/>
  </w:docVars>
  <w:rsids>
    <w:rsidRoot w:val="00000000"/>
    <w:rsid w:val="19A665DA"/>
    <w:rsid w:val="30E22760"/>
    <w:rsid w:val="3E8C7BED"/>
    <w:rsid w:val="46CE60A5"/>
    <w:rsid w:val="4DC85C0B"/>
    <w:rsid w:val="5AD308BE"/>
    <w:rsid w:val="65F36485"/>
    <w:rsid w:val="690E10F6"/>
    <w:rsid w:val="69A67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index 4"/>
    <w:basedOn w:val="1"/>
    <w:next w:val="1"/>
    <w:autoRedefine/>
    <w:qFormat/>
    <w:uiPriority w:val="0"/>
    <w:pPr>
      <w:ind w:left="600" w:leftChars="600"/>
    </w:pPr>
  </w:style>
  <w:style w:type="paragraph" w:styleId="3">
    <w:name w:val="footer"/>
    <w:basedOn w:val="1"/>
    <w:autoRedefine/>
    <w:unhideWhenUsed/>
    <w:qFormat/>
    <w:uiPriority w:val="99"/>
    <w:pPr>
      <w:tabs>
        <w:tab w:val="center" w:pos="4153"/>
        <w:tab w:val="right" w:pos="8306"/>
      </w:tabs>
      <w:autoSpaceDE w:val="0"/>
      <w:autoSpaceDN w:val="0"/>
      <w:adjustRightInd w:val="0"/>
      <w:snapToGrid w:val="0"/>
      <w:jc w:val="left"/>
    </w:pPr>
    <w:rPr>
      <w:rFonts w:ascii="宋体" w:hAnsi="Times New Roman" w:eastAsia="宋体"/>
      <w:kern w:val="0"/>
      <w:sz w:val="18"/>
      <w:szCs w:val="18"/>
    </w:rPr>
  </w:style>
  <w:style w:type="character" w:customStyle="1" w:styleId="6">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2023-12-12T06:45:54Z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B836CA9319ED419EBA6E4F69D9998B95</vt:lpwstr>
  </property>
</Properties>
</file>